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2A6659" w14:textId="77777777" w:rsidR="002F1CE4" w:rsidRPr="00E56FD1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 w:rsidRPr="003630F2">
        <w:rPr>
          <w:noProof/>
        </w:rPr>
        <w:drawing>
          <wp:inline distT="0" distB="0" distL="0" distR="0" wp14:anchorId="6400220C" wp14:editId="10B0EF2B">
            <wp:extent cx="1311466" cy="562057"/>
            <wp:effectExtent l="0" t="0" r="3175" b="9525"/>
            <wp:docPr id="37044875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BC9A7" w14:textId="075329E4" w:rsidR="002F1CE4" w:rsidRPr="00E56FD1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  <w:sz w:val="24"/>
        </w:rPr>
      </w:pPr>
      <w:r w:rsidRPr="008A51C1">
        <w:rPr>
          <w:rFonts w:ascii="Arial" w:hAnsi="Arial"/>
          <w:i w:val="0"/>
          <w:iCs w:val="0"/>
          <w:sz w:val="24"/>
        </w:rPr>
        <w:t>TISKOV</w:t>
      </w:r>
      <w:r w:rsidR="001C672A" w:rsidRPr="008A51C1">
        <w:rPr>
          <w:rFonts w:ascii="Arial" w:hAnsi="Arial"/>
          <w:i w:val="0"/>
          <w:iCs w:val="0"/>
          <w:sz w:val="24"/>
        </w:rPr>
        <w:t>Á ZPRÁVA</w:t>
      </w:r>
      <w:r w:rsidRPr="00E56FD1">
        <w:rPr>
          <w:rFonts w:ascii="Arial" w:hAnsi="Arial"/>
          <w:i w:val="0"/>
          <w:iCs w:val="0"/>
          <w:sz w:val="24"/>
        </w:rPr>
        <w:tab/>
      </w:r>
      <w:r w:rsidRPr="00E56FD1">
        <w:rPr>
          <w:rFonts w:ascii="Arial" w:hAnsi="Arial"/>
          <w:i w:val="0"/>
          <w:iCs w:val="0"/>
          <w:sz w:val="24"/>
        </w:rPr>
        <w:tab/>
      </w:r>
      <w:r w:rsidRPr="00E56FD1">
        <w:rPr>
          <w:rFonts w:ascii="Arial" w:hAnsi="Arial"/>
          <w:i w:val="0"/>
          <w:iCs w:val="0"/>
          <w:sz w:val="24"/>
        </w:rPr>
        <w:tab/>
      </w:r>
      <w:r w:rsidRPr="00E56FD1">
        <w:rPr>
          <w:rFonts w:ascii="Arial" w:hAnsi="Arial"/>
          <w:i w:val="0"/>
          <w:iCs w:val="0"/>
          <w:sz w:val="24"/>
        </w:rPr>
        <w:tab/>
      </w:r>
      <w:r w:rsidR="003A7836" w:rsidRPr="00E56FD1">
        <w:rPr>
          <w:rFonts w:ascii="Arial" w:hAnsi="Arial"/>
          <w:i w:val="0"/>
          <w:iCs w:val="0"/>
          <w:sz w:val="24"/>
        </w:rPr>
        <w:tab/>
      </w:r>
      <w:r w:rsidR="008470FA" w:rsidRPr="00E56FD1">
        <w:rPr>
          <w:rFonts w:ascii="Arial" w:hAnsi="Arial"/>
          <w:i w:val="0"/>
          <w:iCs w:val="0"/>
          <w:sz w:val="24"/>
        </w:rPr>
        <w:tab/>
      </w:r>
      <w:r w:rsidR="00020915" w:rsidRPr="00E56FD1">
        <w:rPr>
          <w:rFonts w:ascii="Arial" w:hAnsi="Arial"/>
          <w:i w:val="0"/>
          <w:iCs w:val="0"/>
          <w:sz w:val="24"/>
        </w:rPr>
        <w:tab/>
      </w:r>
      <w:r w:rsidR="00020915" w:rsidRPr="00E56FD1">
        <w:rPr>
          <w:rFonts w:ascii="Arial" w:hAnsi="Arial"/>
          <w:i w:val="0"/>
          <w:iCs w:val="0"/>
          <w:sz w:val="24"/>
        </w:rPr>
        <w:tab/>
        <w:t xml:space="preserve">    </w:t>
      </w:r>
      <w:r w:rsidR="00FB27B8">
        <w:rPr>
          <w:rFonts w:ascii="Arial" w:hAnsi="Arial"/>
          <w:i w:val="0"/>
          <w:iCs w:val="0"/>
          <w:sz w:val="24"/>
        </w:rPr>
        <w:t>25</w:t>
      </w:r>
      <w:r w:rsidR="00CE1573" w:rsidRPr="00E56FD1">
        <w:rPr>
          <w:rFonts w:ascii="Arial" w:hAnsi="Arial"/>
          <w:i w:val="0"/>
          <w:iCs w:val="0"/>
          <w:sz w:val="24"/>
        </w:rPr>
        <w:t>. února</w:t>
      </w:r>
      <w:r w:rsidR="001D6109" w:rsidRPr="00E56FD1">
        <w:rPr>
          <w:rFonts w:ascii="Arial" w:hAnsi="Arial"/>
          <w:i w:val="0"/>
          <w:iCs w:val="0"/>
          <w:sz w:val="24"/>
        </w:rPr>
        <w:t xml:space="preserve"> </w:t>
      </w:r>
      <w:r w:rsidRPr="00E56FD1">
        <w:rPr>
          <w:rFonts w:ascii="Arial" w:hAnsi="Arial"/>
          <w:i w:val="0"/>
          <w:iCs w:val="0"/>
          <w:sz w:val="24"/>
        </w:rPr>
        <w:t>20</w:t>
      </w:r>
      <w:r w:rsidR="001D6109" w:rsidRPr="00E56FD1">
        <w:rPr>
          <w:rFonts w:ascii="Arial" w:hAnsi="Arial"/>
          <w:i w:val="0"/>
          <w:iCs w:val="0"/>
          <w:sz w:val="24"/>
        </w:rPr>
        <w:t>2</w:t>
      </w:r>
      <w:r w:rsidR="0055018F" w:rsidRPr="00E56FD1">
        <w:rPr>
          <w:rFonts w:ascii="Arial" w:hAnsi="Arial"/>
          <w:i w:val="0"/>
          <w:iCs w:val="0"/>
          <w:sz w:val="24"/>
        </w:rPr>
        <w:t>1</w:t>
      </w:r>
    </w:p>
    <w:p w14:paraId="228EFF81" w14:textId="653321D2" w:rsidR="00495EF6" w:rsidRPr="00E56FD1" w:rsidRDefault="00495EF6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2043AA08" w14:textId="221409C9" w:rsidR="00495EF6" w:rsidRPr="00E56FD1" w:rsidRDefault="002D7C5D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E56FD1">
        <w:rPr>
          <w:rFonts w:ascii="Arial" w:hAnsi="Arial" w:cs="Arial"/>
          <w:b/>
          <w:bCs/>
          <w:sz w:val="28"/>
          <w:szCs w:val="28"/>
        </w:rPr>
        <w:t>Jak financovat koupi nemovitosti, když jejich ceny nadále rostou?</w:t>
      </w:r>
    </w:p>
    <w:p w14:paraId="5B75C2AC" w14:textId="77777777" w:rsidR="001C6003" w:rsidRPr="00E56FD1" w:rsidRDefault="001C6003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</w:p>
    <w:p w14:paraId="02F44D5E" w14:textId="33001496" w:rsidR="00123D2D" w:rsidRPr="00E56FD1" w:rsidRDefault="00123D2D" w:rsidP="3E9E41E3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V roce 2020 byla </w:t>
      </w:r>
      <w:r w:rsidR="00653B30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kromě potřeby vlastní střechy nad hlavou </w:t>
      </w:r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jedním z hlavních motivů pro nákup nemovitosti snaha bezpečně uložit úspory a zároveň </w:t>
      </w:r>
      <w:r w:rsidR="00AE572F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se projevil </w:t>
      </w:r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nadstandardní nárůst zájmu o </w:t>
      </w:r>
      <w:r w:rsidR="004A3EA1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rekreační</w:t>
      </w:r>
      <w:r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B51C6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objekty</w:t>
      </w:r>
      <w:r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které se ukázaly být příjemnější alternativou pro přečkání karantény než byty 2+kk na sídlišti.</w:t>
      </w:r>
      <w:r w:rsidR="00C168A3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Poptávka tak neutichá, a</w:t>
      </w:r>
      <w:r w:rsidR="008F2D4D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 </w:t>
      </w:r>
      <w:r w:rsidR="00C168A3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to i přesto, že ceny nemovitostí stále stoupají.</w:t>
      </w:r>
      <w:r w:rsidR="00BE7AEA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168A3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Na d</w:t>
      </w:r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osažitelnost bydlení </w:t>
      </w:r>
      <w:r w:rsidR="00C168A3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mají vliv také změny</w:t>
      </w:r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úvěrové regulatoriky.</w:t>
      </w:r>
      <w:r w:rsidR="00C168A3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Česká národní banka v loňském roce přestala uplatňovat dodržování kritérií poměru příjmu k finanční</w:t>
      </w:r>
      <w:r w:rsidR="00FD456C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m závazkům – </w:t>
      </w:r>
      <w:r w:rsidR="00EB51C6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parametry </w:t>
      </w:r>
      <w:r w:rsidR="00FD456C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DSTI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D456C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poměr výše měsíčních splátek k měsíčnímu příjmu</w:t>
      </w:r>
      <w:r w:rsidR="00FD456C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 a DTI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D456C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(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poměr celkového zadlužení k ročnímu příjmu</w:t>
      </w:r>
      <w:r w:rsidR="00FD456C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)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Většina bank si tato kritéria interně ponechala, mírně rozvolnila a </w:t>
      </w:r>
      <w:r w:rsidR="00FB3CEB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po svém </w:t>
      </w:r>
      <w:r w:rsidR="00BE7AEA" w:rsidRPr="008A51C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upravila. Analýzu současné situace na hypotečním poli a různých možností</w:t>
      </w:r>
      <w:r w:rsidR="00FD456C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pro žadatele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představuj</w:t>
      </w:r>
      <w:r w:rsidR="117C0139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 finanční</w:t>
      </w:r>
      <w:r w:rsidR="00BE7AEA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expert</w:t>
      </w:r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společnost</w:t>
      </w:r>
      <w:r w:rsidR="0E0D1515"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i</w:t>
      </w:r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Bidli</w:t>
      </w:r>
      <w:proofErr w:type="spellEnd"/>
      <w:r w:rsidRPr="00E56FD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</w:p>
    <w:p w14:paraId="74655565" w14:textId="0F0BE26A" w:rsidR="000A5825" w:rsidRPr="00E56FD1" w:rsidRDefault="000A5825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563D0EE" w14:textId="7B68FEE8" w:rsidR="00D70D5F" w:rsidRPr="00E56FD1" w:rsidRDefault="00DF0688" w:rsidP="00D70D5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Snižování </w:t>
      </w:r>
      <w:r w:rsidR="001C6003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úrokových sazeb </w:t>
      </w:r>
      <w:r w:rsidR="00D70D5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v obecné rovině</w:t>
      </w:r>
      <w:r w:rsidR="001C6003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znamená vyšší dosažitelnost úvěrů na bydlení pro skupiny klientů s hraničními příjmy dle současné regulatoriky.</w:t>
      </w:r>
      <w:r w:rsidR="00123D2D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Nicméně pouhá úroveň úroků nemá velký vliv na růst či pokles poptávky po </w:t>
      </w:r>
      <w:r w:rsidR="00EB51C6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bytech a domech</w:t>
      </w:r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D70D5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„Pravděpodobn</w:t>
      </w:r>
      <w:r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é zvyšování </w:t>
      </w:r>
      <w:r w:rsidR="00D70D5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úrokových sazeb v letošním roce samozřejmě může </w:t>
      </w:r>
      <w:r w:rsidR="00FB3CEB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způsobit </w:t>
      </w:r>
      <w:r w:rsidR="00D70D5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mírný pokles popt</w:t>
      </w:r>
      <w:r w:rsidR="00FD456C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ávky, ale nezapomínejme, že v České republice</w:t>
      </w:r>
      <w:r w:rsidR="00D70D5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je stále více než polovina nemovitostí pořizována bez nutnosti použ</w:t>
      </w:r>
      <w:r w:rsidR="004A3EA1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í</w:t>
      </w:r>
      <w:r w:rsidR="00D70D5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t hypotéku. Na vývoj cen budou tedy mít větší dopad jiné vlivy jako možný růst nezaměstnanosti, vývoj pandemie apod. Jiná situace by nastal</w:t>
      </w:r>
      <w:r w:rsidR="00D70D5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a při skokové změně sazeb, </w:t>
      </w:r>
      <w:r w:rsidR="00FA5D29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ovšem </w:t>
      </w:r>
      <w:r w:rsidR="00D70D5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tomu zatím nic nenasvědčuje</w:t>
      </w:r>
      <w:r w:rsidR="00D70D5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,“ </w:t>
      </w:r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vysvětluje</w:t>
      </w:r>
      <w:r w:rsidR="00FD456C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finanční poradce společnosti </w:t>
      </w:r>
      <w:hyperlink r:id="rId12" w:history="1">
        <w:proofErr w:type="spellStart"/>
        <w:r w:rsidR="00FD456C" w:rsidRPr="0094675C">
          <w:rPr>
            <w:rStyle w:val="Hypertextovodkaz"/>
            <w:rFonts w:ascii="Arial" w:eastAsia="Arial" w:hAnsi="Arial" w:cs="Arial"/>
            <w:iCs/>
            <w:sz w:val="22"/>
            <w:szCs w:val="22"/>
          </w:rPr>
          <w:t>Bidli</w:t>
        </w:r>
        <w:proofErr w:type="spellEnd"/>
      </w:hyperlink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Dalibor </w:t>
      </w:r>
      <w:proofErr w:type="spellStart"/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Čerych</w:t>
      </w:r>
      <w:proofErr w:type="spellEnd"/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. Navíc se trh s novými byty a domy stále potýká s velkým nedostatkem jak stavebních parcel, tak pracovních sil, ale i zdlouhavým povolovacím řízením.</w:t>
      </w:r>
    </w:p>
    <w:p w14:paraId="33C2012B" w14:textId="752109F7" w:rsidR="008E17A3" w:rsidRPr="00E56FD1" w:rsidRDefault="008E17A3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24811478" w14:textId="1E2E7E6E" w:rsidR="00AE572F" w:rsidRPr="00E56FD1" w:rsidRDefault="00FB27B8" w:rsidP="00AE572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9C0AE2D" wp14:editId="38F47AB4">
            <wp:simplePos x="0" y="0"/>
            <wp:positionH relativeFrom="margin">
              <wp:align>right</wp:align>
            </wp:positionH>
            <wp:positionV relativeFrom="paragraph">
              <wp:posOffset>828040</wp:posOffset>
            </wp:positionV>
            <wp:extent cx="251968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93" y="21194"/>
                <wp:lineTo x="2139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Co se týče podílu bytů financovaných hypotékou, statistiky dlouhodobě uvádějí </w:t>
      </w:r>
      <w:r w:rsidR="00DF0688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jejich </w:t>
      </w:r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využití </w:t>
      </w:r>
      <w:r w:rsidR="00AE572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="00C40678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AE572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cca 40 </w:t>
      </w:r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% prodejů rezidenčních nemovitostí. Loňský rok byl také ovlivněn nadstandardním zájmem o rekreační </w:t>
      </w:r>
      <w:r w:rsidR="00EB51C6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objekty</w:t>
      </w:r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o jejichž koupi někteří lidé do doby před </w:t>
      </w:r>
      <w:proofErr w:type="spellStart"/>
      <w:r w:rsidR="00C40678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k</w:t>
      </w:r>
      <w:r w:rsidR="00AE572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oronavirem</w:t>
      </w:r>
      <w:proofErr w:type="spellEnd"/>
      <w:r w:rsidR="00AE572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ani neuvažovali. 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„Co </w:t>
      </w:r>
      <w:r w:rsidR="00C40678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loni 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nešlo přehlédnout</w:t>
      </w:r>
      <w:r w:rsidR="00C168A3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,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byl razantní nárůst poptávky po nemovitostech alespoň vzdáleně rekreačního charakteru, nejčastěji v širším okolí Prahy. V</w:t>
      </w:r>
      <w:r w:rsidR="008F2D4D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průběhu loňského léta se například dům u </w:t>
      </w:r>
      <w:bookmarkStart w:id="0" w:name="_Hlk65049659"/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Brandýsa nad Labem </w:t>
      </w:r>
      <w:bookmarkEnd w:id="0"/>
      <w:r w:rsidR="003F7E55" w:rsidRPr="00D61941">
        <w:rPr>
          <w:rFonts w:ascii="Arial" w:eastAsia="Arial" w:hAnsi="Arial" w:cs="Arial"/>
          <w:i/>
          <w:sz w:val="22"/>
          <w:szCs w:val="22"/>
        </w:rPr>
        <w:t>s podlahovou plochou 150 m</w:t>
      </w:r>
      <w:r w:rsidR="003F7E55" w:rsidRPr="00D61941">
        <w:rPr>
          <w:rFonts w:ascii="Arial" w:eastAsia="Arial" w:hAnsi="Arial" w:cs="Arial"/>
          <w:i/>
          <w:sz w:val="22"/>
          <w:szCs w:val="22"/>
          <w:vertAlign w:val="superscript"/>
        </w:rPr>
        <w:t>2</w:t>
      </w:r>
      <w:r w:rsidR="003F7E55" w:rsidRPr="00D61941">
        <w:rPr>
          <w:rFonts w:ascii="Arial" w:eastAsia="Arial" w:hAnsi="Arial" w:cs="Arial"/>
          <w:i/>
          <w:sz w:val="22"/>
          <w:szCs w:val="22"/>
        </w:rPr>
        <w:t xml:space="preserve"> a 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s pozemkem přes 1</w:t>
      </w:r>
      <w:r w:rsidR="008F2D4D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600</w:t>
      </w:r>
      <w:r w:rsidR="008F2D4D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m</w:t>
      </w:r>
      <w:r w:rsidR="00D70D5F" w:rsidRPr="008A51C1">
        <w:rPr>
          <w:rFonts w:ascii="Arial" w:eastAsia="Arial" w:hAnsi="Arial" w:cs="Arial"/>
          <w:i/>
          <w:color w:val="000000" w:themeColor="text1"/>
          <w:sz w:val="22"/>
          <w:szCs w:val="22"/>
          <w:vertAlign w:val="superscript"/>
        </w:rPr>
        <w:t>2</w:t>
      </w:r>
      <w:r w:rsidR="00D70D5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prodával za 3</w:t>
      </w:r>
      <w:r w:rsidR="00C40678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D70D5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500</w:t>
      </w:r>
      <w:r w:rsidR="00C40678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D70D5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000 Kč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. Nyní by</w:t>
      </w:r>
      <w:r w:rsidR="00C40678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ste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za stejnou cenu pořídili 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domek poloviční a</w:t>
      </w:r>
      <w:r w:rsidR="008F2D4D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s</w:t>
      </w:r>
      <w:r w:rsidR="008F2D4D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AE572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pozemkem čtvrtinovým,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“ </w:t>
      </w:r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říká Dalibor </w:t>
      </w:r>
      <w:proofErr w:type="spellStart"/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Čerych</w:t>
      </w:r>
      <w:proofErr w:type="spellEnd"/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</w:p>
    <w:p w14:paraId="7A04D7D5" w14:textId="0D8922D4" w:rsidR="00D61941" w:rsidRPr="00ED254B" w:rsidRDefault="00D61941" w:rsidP="00D61941">
      <w:pPr>
        <w:pStyle w:val="paragraph"/>
        <w:spacing w:before="0" w:beforeAutospacing="0" w:after="0" w:afterAutospacing="0" w:line="320" w:lineRule="atLeast"/>
        <w:jc w:val="right"/>
        <w:textAlignment w:val="baseline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Vizualizace exteriéru v projektu </w:t>
      </w:r>
      <w:proofErr w:type="spellStart"/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>Bidli</w:t>
      </w:r>
      <w:proofErr w:type="spellEnd"/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 v Myslince</w:t>
      </w:r>
    </w:p>
    <w:p w14:paraId="58955E92" w14:textId="26CBD6F7" w:rsidR="00142089" w:rsidRPr="00E56FD1" w:rsidRDefault="00DA659B" w:rsidP="00AE572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</w:pPr>
      <w:r w:rsidRPr="00E56FD1">
        <w:rPr>
          <w:rFonts w:ascii="Arial" w:eastAsia="Arial" w:hAnsi="Arial" w:cs="Arial"/>
          <w:b/>
          <w:iCs/>
          <w:color w:val="000000" w:themeColor="text1"/>
          <w:sz w:val="22"/>
          <w:szCs w:val="22"/>
        </w:rPr>
        <w:t>Financování se stále častěji kombinuje</w:t>
      </w:r>
    </w:p>
    <w:p w14:paraId="7124689D" w14:textId="12547818" w:rsidR="00390387" w:rsidRPr="00E56FD1" w:rsidRDefault="00390387" w:rsidP="00390387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Nejnižší běžné současné úrokové sazby, aniž by se klient upsal k nákupu životní pojistky nebo </w:t>
      </w:r>
      <w:r w:rsidR="001A6C11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 </w:t>
      </w: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podobné podmínce, najdeme nyní na úrovni 1,89 %. Poskytovatelé úvěrů jsou 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přísnější 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lastRenderedPageBreak/>
        <w:t>a</w:t>
      </w:r>
      <w:r w:rsidR="00C40678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počet zamítnutých žádostí </w:t>
      </w:r>
      <w:r w:rsidR="001A6C11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již 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není nulový.</w:t>
      </w: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Také se neoficiálně objevují „nežádoucí“ profese a podobně se zpřísnila kritéria vůči cizincům, v tomto se ale liší banka od banky. </w:t>
      </w:r>
    </w:p>
    <w:p w14:paraId="1CCE449A" w14:textId="56EBC733" w:rsidR="00390387" w:rsidRPr="00E56FD1" w:rsidRDefault="00390387" w:rsidP="00AB2598">
      <w:pPr>
        <w:pStyle w:val="paragraph"/>
        <w:tabs>
          <w:tab w:val="left" w:pos="2268"/>
        </w:tabs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130341A1" w14:textId="74EFF6F4" w:rsidR="00670558" w:rsidRPr="00410099" w:rsidRDefault="00AE572F" w:rsidP="003630F2">
      <w:pPr>
        <w:pStyle w:val="paragraph"/>
        <w:tabs>
          <w:tab w:val="left" w:pos="2268"/>
        </w:tabs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 trhu s hypotékami stále převládají ty 80%. Už proto, že mají o poznání nižší úrokovou sazbu. </w:t>
      </w:r>
      <w:r w:rsidR="0097041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U</w:t>
      </w: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90% hypot</w:t>
      </w:r>
      <w:r w:rsidR="00DF0688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ečních úvěrů 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se totiž </w:t>
      </w:r>
      <w:r w:rsidR="0097041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sazby </w:t>
      </w: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mezi bankami </w:t>
      </w:r>
      <w:r w:rsidR="00FA5D29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různí 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mnohem více. </w:t>
      </w:r>
      <w:r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„Poměrně běžnou kombinaci představuje 80% hypotéka a 10% úvěr jiného typu, což pro řadu klientů může být zajímavější a lehce flexibilnější řešení než hypotéka 90%</w:t>
      </w:r>
      <w:r w:rsidR="00C0037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,</w:t>
      </w:r>
      <w:r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“</w:t>
      </w:r>
      <w:r w:rsidR="00C0037F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C0037F" w:rsidRPr="003630F2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radí Dalibor </w:t>
      </w:r>
      <w:proofErr w:type="spellStart"/>
      <w:r w:rsidR="00C0037F" w:rsidRPr="003630F2">
        <w:rPr>
          <w:rFonts w:ascii="Arial" w:eastAsia="Arial" w:hAnsi="Arial" w:cs="Arial"/>
          <w:iCs/>
          <w:color w:val="000000" w:themeColor="text1"/>
          <w:sz w:val="22"/>
          <w:szCs w:val="22"/>
        </w:rPr>
        <w:t>Čerych</w:t>
      </w:r>
      <w:proofErr w:type="spellEnd"/>
      <w:r w:rsidR="00C0037F" w:rsidRPr="003630F2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AB2598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670558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Pokud má</w:t>
      </w:r>
      <w:r w:rsidR="00670558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zájemce dostatečnou hotovost, vyplatí se mu i tak financovat nemovitost úvěrem, a to už proto, na jakých hodnotách se pohybuje inflace ve srovnání s úroky z</w:t>
      </w:r>
      <w:r w:rsidR="004A3EA1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 </w:t>
      </w:r>
      <w:r w:rsidR="00670558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hypoték. </w:t>
      </w:r>
      <w:r w:rsidR="003F7E55" w:rsidRPr="0041009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Jak ovšem poradce společnosti </w:t>
      </w:r>
      <w:proofErr w:type="spellStart"/>
      <w:r w:rsidR="003F7E55" w:rsidRPr="00410099">
        <w:rPr>
          <w:rFonts w:ascii="Arial" w:eastAsia="Arial" w:hAnsi="Arial" w:cs="Arial"/>
          <w:iCs/>
          <w:color w:val="000000" w:themeColor="text1"/>
          <w:sz w:val="22"/>
          <w:szCs w:val="22"/>
        </w:rPr>
        <w:t>Bidli</w:t>
      </w:r>
      <w:proofErr w:type="spellEnd"/>
      <w:r w:rsidR="003F7E55" w:rsidRPr="00410099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upozorňuje, v případě nákupu více nemovitostí čistě na investici se už nejedná o řešení bydlení a podmínky hypotéky se mění – klesá maximální splatnost, roste úrok a obvykle se i snižuje možná výše úvěru k hodnotě zástavy.</w:t>
      </w:r>
    </w:p>
    <w:p w14:paraId="45D59682" w14:textId="77777777" w:rsidR="000934B1" w:rsidRPr="00E56FD1" w:rsidRDefault="000934B1" w:rsidP="003630F2">
      <w:pPr>
        <w:pStyle w:val="paragraph"/>
        <w:tabs>
          <w:tab w:val="left" w:pos="2268"/>
        </w:tabs>
        <w:spacing w:before="0" w:beforeAutospacing="0" w:after="0" w:afterAutospacing="0" w:line="320" w:lineRule="atLeast"/>
        <w:jc w:val="distribute"/>
        <w:textAlignment w:val="baseline"/>
        <w:rPr>
          <w:rFonts w:ascii="Arial" w:eastAsia="Arial" w:hAnsi="Arial" w:cs="Arial"/>
          <w:i/>
          <w:color w:val="000000" w:themeColor="text1"/>
          <w:sz w:val="22"/>
          <w:szCs w:val="22"/>
        </w:rPr>
      </w:pPr>
    </w:p>
    <w:p w14:paraId="6C35E161" w14:textId="7B0AFA5B" w:rsidR="00670558" w:rsidRDefault="00FB27B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215192C" wp14:editId="242D5B0E">
            <wp:simplePos x="0" y="0"/>
            <wp:positionH relativeFrom="margin">
              <wp:posOffset>45720</wp:posOffset>
            </wp:positionH>
            <wp:positionV relativeFrom="paragraph">
              <wp:posOffset>1013460</wp:posOffset>
            </wp:positionV>
            <wp:extent cx="2520000" cy="1417361"/>
            <wp:effectExtent l="0" t="0" r="0" b="0"/>
            <wp:wrapTight wrapText="bothSides">
              <wp:wrapPolygon edited="0">
                <wp:start x="0" y="0"/>
                <wp:lineTo x="0" y="21194"/>
                <wp:lineTo x="21393" y="21194"/>
                <wp:lineTo x="21393" y="0"/>
                <wp:lineTo x="0" y="0"/>
              </wp:wrapPolygon>
            </wp:wrapTight>
            <wp:docPr id="2" name="Obrázek 2" descr="Obsah obrázku interiér, místnost, patro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, místnost, patro, zeď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17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B20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Využití hned několika způsobů financování bývá stále populárnější</w:t>
      </w:r>
      <w:r w:rsidR="00AE572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, ale</w:t>
      </w:r>
      <w:r w:rsidR="009B7B20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i nutnější. </w:t>
      </w:r>
      <w:r w:rsidR="00AE572F" w:rsidRPr="00E56FD1">
        <w:rPr>
          <w:rFonts w:ascii="Arial" w:eastAsia="Arial" w:hAnsi="Arial" w:cs="Arial"/>
          <w:color w:val="000000" w:themeColor="text1"/>
          <w:sz w:val="22"/>
          <w:szCs w:val="22"/>
        </w:rPr>
        <w:t>Nejčastěji k tomu dochází, když banka hodnotu pořizované nemovitosti stanoví níže, než je kupní cena.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9B7B20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Tuto situaci ilustruje Dalibor </w:t>
      </w:r>
      <w:proofErr w:type="spellStart"/>
      <w:r w:rsidR="009B7B20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Čerych</w:t>
      </w:r>
      <w:proofErr w:type="spellEnd"/>
      <w:r w:rsidR="00AE572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: „</w:t>
      </w:r>
      <w:r w:rsidR="009B7B20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Dejme tomu, že kupní cena 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činí</w:t>
      </w:r>
      <w:r w:rsidR="009B7B20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6 000 000 Kč, ale odhad banky pouze 5 800 000 Kč. Chtěli jsme si vzít 80% hypotéku, </w:t>
      </w:r>
      <w:r w:rsidR="00C40678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což je </w:t>
      </w:r>
      <w:r w:rsidR="009B7B20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4 800 000 Kč, 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nicméně</w:t>
      </w:r>
      <w:r w:rsidR="009B7B20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banka </w:t>
      </w:r>
      <w:r w:rsidR="009B7B20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půjčí jen </w:t>
      </w:r>
      <w:r w:rsidR="00DF0688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80 procent z</w:t>
      </w:r>
      <w:r w:rsidR="00DF0688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 odhadu, tedy </w:t>
      </w:r>
      <w:r w:rsidR="009B7B20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4 640 000 Kč. Máme kvůli 160 000 Kč platit po dobu prvního fixační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ho období podstatně vyšší úrok, třeba i o 0,5</w:t>
      </w:r>
      <w:r w:rsidR="004A3EA1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AE572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%,</w:t>
      </w:r>
      <w:r w:rsidR="009B7B20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z celé půjčené částky jen proto, že cokoliv nad 80</w:t>
      </w:r>
      <w:r w:rsidR="008F2D4D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</w:t>
      </w:r>
      <w:r w:rsidR="009B7B20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% hodnoty odhadu už je 90% hypotéka? Anebo si zmíněných 160</w:t>
      </w:r>
      <w:r w:rsidR="008F2D4D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 </w:t>
      </w:r>
      <w:r w:rsidR="009B7B20" w:rsidRPr="008A51C1">
        <w:rPr>
          <w:rFonts w:ascii="Arial" w:eastAsia="Arial" w:hAnsi="Arial" w:cs="Arial"/>
          <w:i/>
          <w:color w:val="000000" w:themeColor="text1"/>
          <w:sz w:val="22"/>
          <w:szCs w:val="22"/>
        </w:rPr>
        <w:t>000 Kč půjčíme na tzv. nezajištěný úvěr ze stavebního spoření s anuitním splácením?“</w:t>
      </w:r>
      <w:r w:rsidR="009B7B20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20F04213" w14:textId="1FFF53FF" w:rsidR="00D61941" w:rsidRPr="00ED254B" w:rsidRDefault="00D61941" w:rsidP="00D61941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Vizualizace interiéru v projektu </w:t>
      </w:r>
      <w:proofErr w:type="spellStart"/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>Bidli</w:t>
      </w:r>
      <w:proofErr w:type="spellEnd"/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 v Myslince</w:t>
      </w:r>
    </w:p>
    <w:p w14:paraId="249948D0" w14:textId="28D6018C" w:rsidR="00653B30" w:rsidRPr="00E56FD1" w:rsidRDefault="00653B30" w:rsidP="00D70D5F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/>
          <w:color w:val="000000" w:themeColor="text1"/>
          <w:sz w:val="22"/>
          <w:szCs w:val="22"/>
        </w:rPr>
      </w:pPr>
    </w:p>
    <w:p w14:paraId="0F9B2A6B" w14:textId="73DC5C20" w:rsidR="003D5499" w:rsidRPr="008A51C1" w:rsidRDefault="003D5499" w:rsidP="003D549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E56FD1">
        <w:rPr>
          <w:rFonts w:ascii="Arial" w:eastAsia="Arial" w:hAnsi="Arial" w:cs="Arial"/>
          <w:b/>
          <w:color w:val="000000" w:themeColor="text1"/>
          <w:sz w:val="22"/>
          <w:szCs w:val="22"/>
        </w:rPr>
        <w:t>Jaké jsou alternativy a řešení krize?</w:t>
      </w:r>
    </w:p>
    <w:p w14:paraId="18B67A6A" w14:textId="0BC7D60F" w:rsidR="00AE572F" w:rsidRPr="008A51C1" w:rsidRDefault="00653B30" w:rsidP="009B7B2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 w:rsidRPr="008A51C1">
        <w:rPr>
          <w:rFonts w:ascii="Arial" w:eastAsia="Arial" w:hAnsi="Arial" w:cs="Arial"/>
          <w:color w:val="000000" w:themeColor="text1"/>
          <w:sz w:val="22"/>
          <w:szCs w:val="22"/>
        </w:rPr>
        <w:t>V případě nedosažitelnosti vysněného bydlení nelze vybrat žádnou obvyklou variantu řešení</w:t>
      </w:r>
      <w:r w:rsidRPr="00E56FD1">
        <w:rPr>
          <w:rFonts w:ascii="Arial" w:eastAsia="Arial" w:hAnsi="Arial" w:cs="Arial"/>
          <w:color w:val="000000" w:themeColor="text1"/>
          <w:sz w:val="22"/>
          <w:szCs w:val="22"/>
        </w:rPr>
        <w:t xml:space="preserve"> – </w:t>
      </w:r>
      <w:r w:rsidR="00B9013F" w:rsidRPr="00E56FD1">
        <w:rPr>
          <w:rFonts w:ascii="Arial" w:eastAsia="Arial" w:hAnsi="Arial" w:cs="Arial"/>
          <w:color w:val="000000" w:themeColor="text1"/>
          <w:sz w:val="22"/>
          <w:szCs w:val="22"/>
        </w:rPr>
        <w:t>každý má jiný přístup k riziku, jistotu či nejistotu udržení příjmu, jiné priority a parametry, u</w:t>
      </w:r>
      <w:r w:rsidR="000934B1" w:rsidRPr="00E56FD1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B9013F" w:rsidRPr="008A51C1">
        <w:rPr>
          <w:rFonts w:ascii="Arial" w:eastAsia="Arial" w:hAnsi="Arial" w:cs="Arial"/>
          <w:color w:val="000000" w:themeColor="text1"/>
          <w:sz w:val="22"/>
          <w:szCs w:val="22"/>
        </w:rPr>
        <w:t>kterých by byl ochoten slevit</w:t>
      </w:r>
      <w:r w:rsidRPr="008A51C1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Pr="00E56FD1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D70D5F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„Osobně si myslím, že k většímu omezení dosažitelnosti vedl v nedávné minulosti zákaz poskytování 100% hypoték a zavedení kritérií na přiměřenost finančních závazků k příjmům dlužníka,“</w:t>
      </w:r>
      <w:r w:rsidR="00142089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zmiňuje Dalibor</w:t>
      </w:r>
      <w:r w:rsidR="00DA659B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proofErr w:type="spellStart"/>
      <w:r w:rsidR="00DA659B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Čerych</w:t>
      </w:r>
      <w:proofErr w:type="spellEnd"/>
      <w:r w:rsidR="00142089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Kromě pronájmu </w:t>
      </w:r>
      <w:r w:rsidR="00B9013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pak </w:t>
      </w:r>
      <w:r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představuj</w:t>
      </w:r>
      <w:r w:rsidR="007C00FC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e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alternativu při nedosažitelnosti hypotečního úvěru družstevní </w:t>
      </w:r>
      <w:r w:rsidR="007C00FC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bydlení</w:t>
      </w:r>
      <w:r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. </w:t>
      </w:r>
      <w:r w:rsidR="00D22AC0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To může </w:t>
      </w:r>
      <w:r w:rsidR="00D70D5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být za určitých okolností ideálním řešením </w:t>
      </w:r>
      <w:r w:rsidR="008F2D4D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například </w:t>
      </w:r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pro ty skupiny klientů, které mají</w:t>
      </w:r>
      <w:r w:rsidR="00B52671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stabilní</w:t>
      </w:r>
      <w:r w:rsidR="00D70D5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příjmy, ovšem nikoliv </w:t>
      </w:r>
      <w:r w:rsidR="00D22AC0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podle kritérií </w:t>
      </w:r>
      <w:r w:rsidR="00D70D5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požadovan</w:t>
      </w:r>
      <w:r w:rsidR="00D22AC0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ých</w:t>
      </w:r>
      <w:r w:rsidR="00D70D5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bankou</w:t>
      </w:r>
      <w:r w:rsidR="004A3EA1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2109BF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8F2D4D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Pokud družstevní byt nebude do roka převeden do osobního vlastnictví a nelze tak na něj čerpat tzv. </w:t>
      </w:r>
      <w:proofErr w:type="spellStart"/>
      <w:r w:rsidR="008F2D4D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předhypotéku</w:t>
      </w:r>
      <w:proofErr w:type="spellEnd"/>
      <w:r w:rsidR="008F2D4D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, lze získat jiné úvěry. 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08F2D4D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Navíc u družstevního bydlení existuje varianta, že si</w:t>
      </w:r>
      <w:r w:rsidR="00D22AC0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úvěr od banky bere nikoliv </w:t>
      </w:r>
      <w:r w:rsidR="00FD4334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jednotlivec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ale družstvo, </w:t>
      </w:r>
      <w:r w:rsidR="00EB51C6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jemuž 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pak zájemce/člen družstva splácí měsíční splátku s</w:t>
      </w:r>
      <w:r w:rsidR="003A01C8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předpokladem finálního přechodu vlastnictví po </w:t>
      </w:r>
      <w:r w:rsidR="00FD4334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do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placení úvěru</w:t>
      </w:r>
      <w:r w:rsidR="00FD4334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V </w:t>
      </w:r>
      <w:proofErr w:type="spellStart"/>
      <w:r w:rsidR="00FD4334" w:rsidRPr="008A51C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Bidli</w:t>
      </w:r>
      <w:proofErr w:type="spellEnd"/>
      <w:r w:rsidR="00FD4334" w:rsidRPr="008A51C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js</w:t>
      </w:r>
      <w:r w:rsidR="00FD4334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me takto zprostředkovali družstevní financování již v objemu blížícím se jedné miliardě, takže si troufám říc</w:t>
      </w:r>
      <w:r w:rsidR="003A7D7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</w:t>
      </w:r>
      <w:r w:rsidR="00FD4334" w:rsidRPr="00E56FD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že zájem je značný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7C00FC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doplňuje Dalibor </w:t>
      </w:r>
      <w:proofErr w:type="spellStart"/>
      <w:r w:rsidR="007C00FC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Čerych</w:t>
      </w:r>
      <w:proofErr w:type="spellEnd"/>
      <w:r w:rsidR="007C00FC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</w:p>
    <w:p w14:paraId="361C3CDA" w14:textId="2DC2B80F" w:rsidR="00FD4334" w:rsidRPr="008A51C1" w:rsidRDefault="00FD4334" w:rsidP="009B7B20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02D2A2C" w14:textId="77785EE1" w:rsidR="001C6003" w:rsidRPr="003630F2" w:rsidRDefault="00ED254B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iCs/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4E1A63A8" wp14:editId="699B9DA2">
            <wp:simplePos x="0" y="0"/>
            <wp:positionH relativeFrom="margin">
              <wp:align>left</wp:align>
            </wp:positionH>
            <wp:positionV relativeFrom="paragraph">
              <wp:posOffset>769620</wp:posOffset>
            </wp:positionV>
            <wp:extent cx="2519680" cy="1417320"/>
            <wp:effectExtent l="0" t="0" r="0" b="0"/>
            <wp:wrapTight wrapText="bothSides">
              <wp:wrapPolygon edited="0">
                <wp:start x="0" y="0"/>
                <wp:lineTo x="0" y="21194"/>
                <wp:lineTo x="21393" y="21194"/>
                <wp:lineTo x="2139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ECF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Mnoh</w:t>
      </w:r>
      <w:r w:rsidR="00551AD1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o lidí se v současném obtížném období potýká s </w:t>
      </w:r>
      <w:r w:rsidR="00410099">
        <w:rPr>
          <w:rFonts w:ascii="Arial" w:eastAsia="Arial" w:hAnsi="Arial" w:cs="Arial"/>
          <w:iCs/>
          <w:color w:val="000000" w:themeColor="text1"/>
          <w:sz w:val="22"/>
          <w:szCs w:val="22"/>
        </w:rPr>
        <w:t>ji</w:t>
      </w:r>
      <w:r w:rsidR="00551AD1" w:rsidRPr="008A51C1">
        <w:rPr>
          <w:rFonts w:ascii="Arial" w:eastAsia="Arial" w:hAnsi="Arial" w:cs="Arial"/>
          <w:iCs/>
          <w:color w:val="000000" w:themeColor="text1"/>
          <w:sz w:val="22"/>
          <w:szCs w:val="22"/>
        </w:rPr>
        <w:t>ným problémem</w:t>
      </w:r>
      <w:r w:rsidR="00B52671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, a sice ztrátou</w:t>
      </w:r>
      <w:r w:rsidR="001C6003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schopnosti splácet hypotéku</w:t>
      </w:r>
      <w:r w:rsidR="00B52671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.</w:t>
      </w:r>
      <w:r w:rsidR="001C6003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</w:t>
      </w:r>
      <w:r w:rsidR="00B52671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To </w:t>
      </w:r>
      <w:r w:rsidR="001C6003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může mít řadu příčin a stejně tak řadu individuálních řešení. Neexistuje tedy univerzální odpověď. </w:t>
      </w:r>
      <w:r w:rsidR="001C6003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>„Nejdůležitější pravidlo zní – komunikujte a řešte takovou situaci s bankou bez odkladu, největší chybou je strategie mrtvého brouka. Nevíte-li si rady, kontaktujte</w:t>
      </w:r>
      <w:r w:rsidR="008E3BE4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nezávislého</w:t>
      </w:r>
      <w:r w:rsidR="001C6003" w:rsidRPr="00E56FD1">
        <w:rPr>
          <w:rFonts w:ascii="Arial" w:eastAsia="Arial" w:hAnsi="Arial" w:cs="Arial"/>
          <w:i/>
          <w:color w:val="000000" w:themeColor="text1"/>
          <w:sz w:val="22"/>
          <w:szCs w:val="22"/>
        </w:rPr>
        <w:t xml:space="preserve"> finančního poradce,“</w:t>
      </w:r>
      <w:r w:rsidR="001C6003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 xml:space="preserve"> doporučuje Dalibor </w:t>
      </w:r>
      <w:proofErr w:type="spellStart"/>
      <w:r w:rsidR="001C6003" w:rsidRPr="00E56FD1">
        <w:rPr>
          <w:rFonts w:ascii="Arial" w:eastAsia="Arial" w:hAnsi="Arial" w:cs="Arial"/>
          <w:iCs/>
          <w:color w:val="000000" w:themeColor="text1"/>
          <w:sz w:val="22"/>
          <w:szCs w:val="22"/>
        </w:rPr>
        <w:t>Čerych</w:t>
      </w:r>
      <w:proofErr w:type="spellEnd"/>
      <w:r w:rsidR="004A3EA1" w:rsidRPr="00E56FD1">
        <w:rPr>
          <w:rFonts w:ascii="Arial" w:eastAsia="Arial" w:hAnsi="Arial" w:cs="Arial"/>
          <w:iCs/>
          <w:color w:val="FF0000"/>
          <w:sz w:val="22"/>
          <w:szCs w:val="22"/>
        </w:rPr>
        <w:t xml:space="preserve"> </w:t>
      </w:r>
      <w:r w:rsidR="004A3EA1" w:rsidRPr="003630F2">
        <w:rPr>
          <w:rFonts w:ascii="Arial" w:eastAsia="Arial" w:hAnsi="Arial" w:cs="Arial"/>
          <w:iCs/>
          <w:sz w:val="22"/>
          <w:szCs w:val="22"/>
        </w:rPr>
        <w:t>a dodává</w:t>
      </w:r>
      <w:r w:rsidR="004A3EA1" w:rsidRPr="003630F2">
        <w:rPr>
          <w:rFonts w:ascii="Arial" w:eastAsia="Arial" w:hAnsi="Arial" w:cs="Arial"/>
          <w:iCs/>
          <w:color w:val="000000" w:themeColor="text1"/>
          <w:sz w:val="22"/>
          <w:szCs w:val="22"/>
        </w:rPr>
        <w:t>:</w:t>
      </w:r>
      <w:r w:rsidR="008F2D4D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„A </w:t>
      </w:r>
      <w:r w:rsidR="0041009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rada využít </w:t>
      </w:r>
      <w:r w:rsidR="004A3EA1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poradenství </w:t>
      </w:r>
      <w:r w:rsidR="008F2D4D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nezávislých odborníků 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platí i v případě </w:t>
      </w:r>
      <w:r w:rsidR="008F2D4D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volby 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financování. </w:t>
      </w:r>
      <w:r w:rsidR="008F2D4D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Umí zhodnotit různé 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možnosti a podmínky jednotlivých finančních institucí a pomohou </w:t>
      </w:r>
      <w:r w:rsidR="008F2D4D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vám </w:t>
      </w:r>
      <w:r w:rsidR="007C00FC" w:rsidRPr="003630F2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vybrat tu nejlepší.”</w:t>
      </w:r>
    </w:p>
    <w:p w14:paraId="6B9121B6" w14:textId="261000E0" w:rsidR="00ED254B" w:rsidRPr="00ED254B" w:rsidRDefault="00ED254B" w:rsidP="00ED254B">
      <w:pPr>
        <w:pStyle w:val="paragraph"/>
        <w:spacing w:before="0" w:beforeAutospacing="0" w:after="0" w:afterAutospacing="0" w:line="320" w:lineRule="atLeast"/>
        <w:textAlignment w:val="baseline"/>
        <w:rPr>
          <w:rFonts w:ascii="Arial" w:eastAsia="Arial" w:hAnsi="Arial" w:cs="Arial"/>
          <w:i/>
          <w:color w:val="000000" w:themeColor="text1"/>
          <w:sz w:val="18"/>
          <w:szCs w:val="18"/>
        </w:rPr>
      </w:pPr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Vizualizace exteriéru v projektu </w:t>
      </w:r>
      <w:proofErr w:type="spellStart"/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>Bidli</w:t>
      </w:r>
      <w:proofErr w:type="spellEnd"/>
      <w:r w:rsidRPr="00ED254B">
        <w:rPr>
          <w:rFonts w:ascii="Arial" w:eastAsia="Arial" w:hAnsi="Arial" w:cs="Arial"/>
          <w:i/>
          <w:color w:val="000000" w:themeColor="text1"/>
          <w:sz w:val="18"/>
          <w:szCs w:val="18"/>
        </w:rPr>
        <w:t xml:space="preserve"> v Myslince</w:t>
      </w:r>
    </w:p>
    <w:p w14:paraId="4525166A" w14:textId="77777777" w:rsidR="00670558" w:rsidRPr="003630F2" w:rsidRDefault="00670558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44EAFD9C" w14:textId="77777777" w:rsidR="00CE1573" w:rsidRPr="00E56FD1" w:rsidRDefault="00CE1573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2"/>
          <w:szCs w:val="22"/>
        </w:rPr>
      </w:pPr>
    </w:p>
    <w:p w14:paraId="07103FA9" w14:textId="77777777" w:rsidR="00CE1573" w:rsidRPr="003630F2" w:rsidRDefault="00CE1573" w:rsidP="00CE15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8A51C1">
        <w:rPr>
          <w:rStyle w:val="dn"/>
          <w:rFonts w:ascii="Arial" w:hAnsi="Arial"/>
          <w:b/>
          <w:bCs/>
          <w:i/>
          <w:iCs/>
          <w:sz w:val="20"/>
          <w:szCs w:val="20"/>
        </w:rPr>
        <w:t>BIDLI holding, a.s.,</w:t>
      </w:r>
      <w:r w:rsidRPr="008A51C1">
        <w:rPr>
          <w:rFonts w:ascii="Arial" w:eastAsia="Times New Roman" w:hAnsi="Arial" w:cs="Arial"/>
          <w:sz w:val="22"/>
          <w:szCs w:val="22"/>
        </w:rPr>
        <w:t xml:space="preserve"> </w:t>
      </w:r>
      <w:r w:rsidRPr="00E56FD1">
        <w:rPr>
          <w:rFonts w:ascii="Arial" w:eastAsia="Times New Roman" w:hAnsi="Arial" w:cs="Arial"/>
          <w:i/>
          <w:iCs/>
          <w:sz w:val="20"/>
          <w:szCs w:val="20"/>
        </w:rPr>
        <w:t>je největším komplexním projektem pro bydlení v České republice. Společnost jako jediná na trhu řeší kompletní škálu služeb – realitní činnost, hypoteční poradenství, rezidenční development, družstevní bydlení, pojištění, dodávku energií a fotovoltaických elektráren, výrobu dřevostaveb a nábytku i designové řešení interiéru. Klientovi je tak schopna zajistit nové bydlení i vše, co k němu potřebuje.</w:t>
      </w:r>
    </w:p>
    <w:p w14:paraId="4DD9167A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E56FD1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25C15EC7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E56FD1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E56FD1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7A29419F" w14:textId="77777777" w:rsidR="00CE1573" w:rsidRPr="003630F2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  <w:lang w:val="cs-CZ"/>
        </w:rPr>
      </w:pPr>
      <w:r w:rsidRPr="003630F2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6" w:history="1">
        <w:r w:rsidRPr="003630F2">
          <w:rPr>
            <w:rStyle w:val="Hyperlink0"/>
            <w:sz w:val="20"/>
            <w:szCs w:val="20"/>
            <w:lang w:val="cs-CZ"/>
          </w:rPr>
          <w:t>marcela.kukanova@crestcom.cz</w:t>
        </w:r>
      </w:hyperlink>
    </w:p>
    <w:p w14:paraId="0FFFBC10" w14:textId="77777777" w:rsidR="00CE1573" w:rsidRPr="00E56FD1" w:rsidRDefault="00CE1573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E56FD1">
        <w:rPr>
          <w:rFonts w:ascii="Arial" w:hAnsi="Arial" w:cs="Arial"/>
          <w:sz w:val="20"/>
          <w:szCs w:val="20"/>
        </w:rPr>
        <w:t xml:space="preserve">Michaela </w:t>
      </w:r>
      <w:proofErr w:type="spellStart"/>
      <w:r w:rsidRPr="00E56FD1">
        <w:rPr>
          <w:rFonts w:ascii="Arial" w:hAnsi="Arial" w:cs="Arial"/>
          <w:sz w:val="20"/>
          <w:szCs w:val="20"/>
        </w:rPr>
        <w:t>Muczková</w:t>
      </w:r>
      <w:proofErr w:type="spellEnd"/>
      <w:r w:rsidRPr="00E56FD1">
        <w:rPr>
          <w:rFonts w:ascii="Arial" w:hAnsi="Arial" w:cs="Arial"/>
          <w:sz w:val="20"/>
          <w:szCs w:val="20"/>
        </w:rPr>
        <w:t xml:space="preserve">, tel.: </w:t>
      </w:r>
      <w:r w:rsidRPr="008A51C1">
        <w:rPr>
          <w:rFonts w:ascii="Arial" w:hAnsi="Arial" w:cs="Arial"/>
          <w:sz w:val="20"/>
          <w:szCs w:val="20"/>
        </w:rPr>
        <w:t>+420 778 543 041,</w:t>
      </w:r>
      <w:r w:rsidRPr="003630F2">
        <w:rPr>
          <w:rStyle w:val="Hyperlink0"/>
          <w:u w:val="none"/>
          <w:lang w:val="cs-CZ"/>
        </w:rPr>
        <w:t> </w:t>
      </w:r>
      <w:hyperlink r:id="rId17" w:history="1">
        <w:r w:rsidRPr="003630F2">
          <w:rPr>
            <w:rStyle w:val="Hyperlink0"/>
            <w:sz w:val="20"/>
            <w:szCs w:val="20"/>
            <w:lang w:val="cs-CZ"/>
          </w:rPr>
          <w:t>michaela.muczkova@crestcom.cz</w:t>
        </w:r>
      </w:hyperlink>
    </w:p>
    <w:p w14:paraId="3BE7DDD4" w14:textId="77777777" w:rsidR="00CE1573" w:rsidRPr="003630F2" w:rsidRDefault="0015449F" w:rsidP="00CE1573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  <w:lang w:val="cs-CZ"/>
        </w:rPr>
      </w:pPr>
      <w:hyperlink r:id="rId18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www.crestcom.cz</w:t>
        </w:r>
      </w:hyperlink>
      <w:r w:rsidR="00CE1573" w:rsidRPr="003630F2">
        <w:rPr>
          <w:rStyle w:val="Hyperlink0"/>
          <w:b/>
          <w:bCs/>
          <w:sz w:val="20"/>
          <w:szCs w:val="20"/>
          <w:lang w:val="cs-CZ"/>
        </w:rPr>
        <w:t xml:space="preserve">; </w:t>
      </w:r>
      <w:hyperlink r:id="rId19" w:history="1">
        <w:r w:rsidR="00CE1573" w:rsidRPr="003630F2">
          <w:rPr>
            <w:rStyle w:val="Hyperlink0"/>
            <w:b/>
            <w:bCs/>
            <w:sz w:val="20"/>
            <w:szCs w:val="20"/>
            <w:lang w:val="cs-CZ"/>
          </w:rPr>
          <w:t>www.bidli.cz</w:t>
        </w:r>
      </w:hyperlink>
    </w:p>
    <w:p w14:paraId="4101652C" w14:textId="77777777" w:rsidR="00D47E39" w:rsidRPr="00E56FD1" w:rsidRDefault="00D47E39" w:rsidP="00B51F76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iCs/>
          <w:color w:val="000000" w:themeColor="text1"/>
          <w:sz w:val="20"/>
          <w:szCs w:val="22"/>
        </w:rPr>
      </w:pPr>
    </w:p>
    <w:sectPr w:rsidR="00D47E39" w:rsidRPr="00E56FD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B9BAA" w14:textId="77777777" w:rsidR="0015449F" w:rsidRDefault="0015449F">
      <w:r>
        <w:separator/>
      </w:r>
    </w:p>
  </w:endnote>
  <w:endnote w:type="continuationSeparator" w:id="0">
    <w:p w14:paraId="3A0D4E8A" w14:textId="77777777" w:rsidR="0015449F" w:rsidRDefault="0015449F">
      <w:r>
        <w:continuationSeparator/>
      </w:r>
    </w:p>
  </w:endnote>
  <w:endnote w:type="continuationNotice" w:id="1">
    <w:p w14:paraId="06D6193D" w14:textId="77777777" w:rsidR="0015449F" w:rsidRDefault="00154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A8DDD" w14:textId="77777777" w:rsidR="0015449F" w:rsidRDefault="0015449F">
      <w:r>
        <w:separator/>
      </w:r>
    </w:p>
  </w:footnote>
  <w:footnote w:type="continuationSeparator" w:id="0">
    <w:p w14:paraId="5E21E9C7" w14:textId="77777777" w:rsidR="0015449F" w:rsidRDefault="0015449F">
      <w:r>
        <w:continuationSeparator/>
      </w:r>
    </w:p>
  </w:footnote>
  <w:footnote w:type="continuationNotice" w:id="1">
    <w:p w14:paraId="1AFB31C8" w14:textId="77777777" w:rsidR="0015449F" w:rsidRDefault="00154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00D38"/>
    <w:rsid w:val="00000F34"/>
    <w:rsid w:val="00003140"/>
    <w:rsid w:val="00005466"/>
    <w:rsid w:val="00007A23"/>
    <w:rsid w:val="00014A8A"/>
    <w:rsid w:val="00020915"/>
    <w:rsid w:val="0002371A"/>
    <w:rsid w:val="00031C38"/>
    <w:rsid w:val="000343D5"/>
    <w:rsid w:val="000345CC"/>
    <w:rsid w:val="000350B0"/>
    <w:rsid w:val="00035F39"/>
    <w:rsid w:val="00042A79"/>
    <w:rsid w:val="00042A83"/>
    <w:rsid w:val="00050BEB"/>
    <w:rsid w:val="000551FE"/>
    <w:rsid w:val="000578F7"/>
    <w:rsid w:val="000652B9"/>
    <w:rsid w:val="000657C9"/>
    <w:rsid w:val="00070AC6"/>
    <w:rsid w:val="000713BA"/>
    <w:rsid w:val="00072770"/>
    <w:rsid w:val="0007703F"/>
    <w:rsid w:val="00085BBC"/>
    <w:rsid w:val="0008644A"/>
    <w:rsid w:val="000870EE"/>
    <w:rsid w:val="000927E0"/>
    <w:rsid w:val="000934B1"/>
    <w:rsid w:val="00094CB4"/>
    <w:rsid w:val="00097B49"/>
    <w:rsid w:val="000A525A"/>
    <w:rsid w:val="000A53D5"/>
    <w:rsid w:val="000A5825"/>
    <w:rsid w:val="000A5A3B"/>
    <w:rsid w:val="000A7092"/>
    <w:rsid w:val="000B0A76"/>
    <w:rsid w:val="000B46FB"/>
    <w:rsid w:val="000B47B8"/>
    <w:rsid w:val="000B5EE3"/>
    <w:rsid w:val="000C403C"/>
    <w:rsid w:val="000C5AF6"/>
    <w:rsid w:val="000C6163"/>
    <w:rsid w:val="000C78C1"/>
    <w:rsid w:val="000D4AB3"/>
    <w:rsid w:val="000D621F"/>
    <w:rsid w:val="000D6C14"/>
    <w:rsid w:val="000E28F8"/>
    <w:rsid w:val="000E34F1"/>
    <w:rsid w:val="000E3DD3"/>
    <w:rsid w:val="000E4DC6"/>
    <w:rsid w:val="000E726A"/>
    <w:rsid w:val="000F0BD7"/>
    <w:rsid w:val="000F0E7F"/>
    <w:rsid w:val="000F20BE"/>
    <w:rsid w:val="000F2FB4"/>
    <w:rsid w:val="000F793C"/>
    <w:rsid w:val="00103A21"/>
    <w:rsid w:val="00104DB7"/>
    <w:rsid w:val="001064FE"/>
    <w:rsid w:val="001065E7"/>
    <w:rsid w:val="00112744"/>
    <w:rsid w:val="00113140"/>
    <w:rsid w:val="00113777"/>
    <w:rsid w:val="00117ED3"/>
    <w:rsid w:val="00121926"/>
    <w:rsid w:val="00122D2D"/>
    <w:rsid w:val="00123D2D"/>
    <w:rsid w:val="00123DCB"/>
    <w:rsid w:val="0013134A"/>
    <w:rsid w:val="00131E4D"/>
    <w:rsid w:val="001322AF"/>
    <w:rsid w:val="00137D40"/>
    <w:rsid w:val="00141CF4"/>
    <w:rsid w:val="00142066"/>
    <w:rsid w:val="00142089"/>
    <w:rsid w:val="00142E48"/>
    <w:rsid w:val="0014646E"/>
    <w:rsid w:val="001473D6"/>
    <w:rsid w:val="0015022B"/>
    <w:rsid w:val="001508BB"/>
    <w:rsid w:val="0015114C"/>
    <w:rsid w:val="00151A40"/>
    <w:rsid w:val="0015449F"/>
    <w:rsid w:val="0015522A"/>
    <w:rsid w:val="001557FF"/>
    <w:rsid w:val="00155AE0"/>
    <w:rsid w:val="001563EC"/>
    <w:rsid w:val="00156638"/>
    <w:rsid w:val="00157A62"/>
    <w:rsid w:val="0016444E"/>
    <w:rsid w:val="00167E90"/>
    <w:rsid w:val="00170506"/>
    <w:rsid w:val="001709A5"/>
    <w:rsid w:val="0017515B"/>
    <w:rsid w:val="001803B6"/>
    <w:rsid w:val="00181398"/>
    <w:rsid w:val="00182937"/>
    <w:rsid w:val="001832C6"/>
    <w:rsid w:val="00183565"/>
    <w:rsid w:val="00185D19"/>
    <w:rsid w:val="001920AF"/>
    <w:rsid w:val="00193CCA"/>
    <w:rsid w:val="00193F19"/>
    <w:rsid w:val="00195C2E"/>
    <w:rsid w:val="001A2118"/>
    <w:rsid w:val="001A2D9C"/>
    <w:rsid w:val="001A3770"/>
    <w:rsid w:val="001A39B9"/>
    <w:rsid w:val="001A6C11"/>
    <w:rsid w:val="001B6F1E"/>
    <w:rsid w:val="001C0D0B"/>
    <w:rsid w:val="001C28FA"/>
    <w:rsid w:val="001C5159"/>
    <w:rsid w:val="001C5330"/>
    <w:rsid w:val="001C56BE"/>
    <w:rsid w:val="001C6003"/>
    <w:rsid w:val="001C672A"/>
    <w:rsid w:val="001D033D"/>
    <w:rsid w:val="001D0846"/>
    <w:rsid w:val="001D0A20"/>
    <w:rsid w:val="001D259C"/>
    <w:rsid w:val="001D6109"/>
    <w:rsid w:val="001E2E18"/>
    <w:rsid w:val="001E41C5"/>
    <w:rsid w:val="001E79C4"/>
    <w:rsid w:val="001F279E"/>
    <w:rsid w:val="001F6D2E"/>
    <w:rsid w:val="001F7B64"/>
    <w:rsid w:val="00201550"/>
    <w:rsid w:val="00202754"/>
    <w:rsid w:val="00205C1F"/>
    <w:rsid w:val="00207A74"/>
    <w:rsid w:val="002109BF"/>
    <w:rsid w:val="00211F00"/>
    <w:rsid w:val="00212898"/>
    <w:rsid w:val="00221044"/>
    <w:rsid w:val="00222F72"/>
    <w:rsid w:val="002250EE"/>
    <w:rsid w:val="00225439"/>
    <w:rsid w:val="00225DB9"/>
    <w:rsid w:val="00231B7C"/>
    <w:rsid w:val="00232807"/>
    <w:rsid w:val="00235868"/>
    <w:rsid w:val="0024279D"/>
    <w:rsid w:val="00242E0B"/>
    <w:rsid w:val="002452C7"/>
    <w:rsid w:val="00252294"/>
    <w:rsid w:val="00255D1D"/>
    <w:rsid w:val="00256365"/>
    <w:rsid w:val="002667C8"/>
    <w:rsid w:val="00266D55"/>
    <w:rsid w:val="00267756"/>
    <w:rsid w:val="00267FCD"/>
    <w:rsid w:val="002702A6"/>
    <w:rsid w:val="002709B2"/>
    <w:rsid w:val="0027161D"/>
    <w:rsid w:val="00274E04"/>
    <w:rsid w:val="002755E2"/>
    <w:rsid w:val="00291106"/>
    <w:rsid w:val="00294325"/>
    <w:rsid w:val="0029508B"/>
    <w:rsid w:val="002972CB"/>
    <w:rsid w:val="00297B8F"/>
    <w:rsid w:val="002A35D2"/>
    <w:rsid w:val="002B0BC6"/>
    <w:rsid w:val="002B41C6"/>
    <w:rsid w:val="002B47BA"/>
    <w:rsid w:val="002C1D35"/>
    <w:rsid w:val="002C514A"/>
    <w:rsid w:val="002D0713"/>
    <w:rsid w:val="002D08FC"/>
    <w:rsid w:val="002D0D67"/>
    <w:rsid w:val="002D254B"/>
    <w:rsid w:val="002D52F1"/>
    <w:rsid w:val="002D5C48"/>
    <w:rsid w:val="002D608D"/>
    <w:rsid w:val="002D7C5D"/>
    <w:rsid w:val="002E3DEA"/>
    <w:rsid w:val="002F18FF"/>
    <w:rsid w:val="002F1CE4"/>
    <w:rsid w:val="002F24D2"/>
    <w:rsid w:val="002F29CF"/>
    <w:rsid w:val="00300578"/>
    <w:rsid w:val="00300A41"/>
    <w:rsid w:val="003021B9"/>
    <w:rsid w:val="003029FA"/>
    <w:rsid w:val="00303F3D"/>
    <w:rsid w:val="0031362D"/>
    <w:rsid w:val="00314E34"/>
    <w:rsid w:val="0031688E"/>
    <w:rsid w:val="003179F7"/>
    <w:rsid w:val="003210CE"/>
    <w:rsid w:val="00323B19"/>
    <w:rsid w:val="003412C4"/>
    <w:rsid w:val="00346317"/>
    <w:rsid w:val="00346ECD"/>
    <w:rsid w:val="00353203"/>
    <w:rsid w:val="0035408F"/>
    <w:rsid w:val="00356418"/>
    <w:rsid w:val="003567B8"/>
    <w:rsid w:val="00360518"/>
    <w:rsid w:val="00362BAF"/>
    <w:rsid w:val="003630F2"/>
    <w:rsid w:val="00366608"/>
    <w:rsid w:val="00366684"/>
    <w:rsid w:val="00366E08"/>
    <w:rsid w:val="00367AF1"/>
    <w:rsid w:val="0037265A"/>
    <w:rsid w:val="00373E1B"/>
    <w:rsid w:val="0037767E"/>
    <w:rsid w:val="0038187F"/>
    <w:rsid w:val="003845D2"/>
    <w:rsid w:val="00386570"/>
    <w:rsid w:val="00387795"/>
    <w:rsid w:val="00390387"/>
    <w:rsid w:val="00391AE0"/>
    <w:rsid w:val="003931C8"/>
    <w:rsid w:val="00395BD5"/>
    <w:rsid w:val="003970F3"/>
    <w:rsid w:val="003A01C8"/>
    <w:rsid w:val="003A1A5F"/>
    <w:rsid w:val="003A301B"/>
    <w:rsid w:val="003A50E2"/>
    <w:rsid w:val="003A7836"/>
    <w:rsid w:val="003A7C71"/>
    <w:rsid w:val="003A7D74"/>
    <w:rsid w:val="003B2F8B"/>
    <w:rsid w:val="003B44FB"/>
    <w:rsid w:val="003B6031"/>
    <w:rsid w:val="003B69E3"/>
    <w:rsid w:val="003C0154"/>
    <w:rsid w:val="003C29A2"/>
    <w:rsid w:val="003C5524"/>
    <w:rsid w:val="003C775C"/>
    <w:rsid w:val="003C8F96"/>
    <w:rsid w:val="003D08F2"/>
    <w:rsid w:val="003D126D"/>
    <w:rsid w:val="003D3E28"/>
    <w:rsid w:val="003D5499"/>
    <w:rsid w:val="003D685D"/>
    <w:rsid w:val="003E46F9"/>
    <w:rsid w:val="003E7C59"/>
    <w:rsid w:val="003F32E2"/>
    <w:rsid w:val="003F4195"/>
    <w:rsid w:val="003F5215"/>
    <w:rsid w:val="003F7E55"/>
    <w:rsid w:val="00400EEA"/>
    <w:rsid w:val="004036DD"/>
    <w:rsid w:val="00405580"/>
    <w:rsid w:val="00410099"/>
    <w:rsid w:val="00414CE0"/>
    <w:rsid w:val="00414E17"/>
    <w:rsid w:val="00414F25"/>
    <w:rsid w:val="00414F94"/>
    <w:rsid w:val="004268E3"/>
    <w:rsid w:val="00426C6E"/>
    <w:rsid w:val="00426CFC"/>
    <w:rsid w:val="004341F0"/>
    <w:rsid w:val="00443919"/>
    <w:rsid w:val="00444957"/>
    <w:rsid w:val="004450C1"/>
    <w:rsid w:val="004454A2"/>
    <w:rsid w:val="004522C9"/>
    <w:rsid w:val="00454749"/>
    <w:rsid w:val="0046061A"/>
    <w:rsid w:val="00466F66"/>
    <w:rsid w:val="00467A49"/>
    <w:rsid w:val="004746C5"/>
    <w:rsid w:val="004801F2"/>
    <w:rsid w:val="00481379"/>
    <w:rsid w:val="004816F0"/>
    <w:rsid w:val="00481DEA"/>
    <w:rsid w:val="00482A0B"/>
    <w:rsid w:val="00484D11"/>
    <w:rsid w:val="00491AE0"/>
    <w:rsid w:val="00493851"/>
    <w:rsid w:val="00493EEA"/>
    <w:rsid w:val="00494356"/>
    <w:rsid w:val="004957F6"/>
    <w:rsid w:val="0049584B"/>
    <w:rsid w:val="00495EF6"/>
    <w:rsid w:val="00497E59"/>
    <w:rsid w:val="004A3EA1"/>
    <w:rsid w:val="004A49BA"/>
    <w:rsid w:val="004A7835"/>
    <w:rsid w:val="004A7E9B"/>
    <w:rsid w:val="004B62B2"/>
    <w:rsid w:val="004B6B0F"/>
    <w:rsid w:val="004B7018"/>
    <w:rsid w:val="004C125E"/>
    <w:rsid w:val="004C2D0D"/>
    <w:rsid w:val="004C70DD"/>
    <w:rsid w:val="004C74B3"/>
    <w:rsid w:val="004D20A7"/>
    <w:rsid w:val="004D2937"/>
    <w:rsid w:val="004D45C4"/>
    <w:rsid w:val="004D79B0"/>
    <w:rsid w:val="004E6B03"/>
    <w:rsid w:val="004E6F6B"/>
    <w:rsid w:val="004E7367"/>
    <w:rsid w:val="004F1AC2"/>
    <w:rsid w:val="004F6CBF"/>
    <w:rsid w:val="00501364"/>
    <w:rsid w:val="00503940"/>
    <w:rsid w:val="00505AE7"/>
    <w:rsid w:val="00505CC4"/>
    <w:rsid w:val="00513198"/>
    <w:rsid w:val="00517A12"/>
    <w:rsid w:val="005203CF"/>
    <w:rsid w:val="00525312"/>
    <w:rsid w:val="00525827"/>
    <w:rsid w:val="00526DF9"/>
    <w:rsid w:val="005272EF"/>
    <w:rsid w:val="0053411E"/>
    <w:rsid w:val="005352BE"/>
    <w:rsid w:val="005425D6"/>
    <w:rsid w:val="00544B9A"/>
    <w:rsid w:val="0055018F"/>
    <w:rsid w:val="005502CD"/>
    <w:rsid w:val="005504A7"/>
    <w:rsid w:val="00551AD1"/>
    <w:rsid w:val="00555DAF"/>
    <w:rsid w:val="00557BE7"/>
    <w:rsid w:val="00560B69"/>
    <w:rsid w:val="0056149A"/>
    <w:rsid w:val="00562E00"/>
    <w:rsid w:val="005636A2"/>
    <w:rsid w:val="005644AF"/>
    <w:rsid w:val="00567C4F"/>
    <w:rsid w:val="00574757"/>
    <w:rsid w:val="00576106"/>
    <w:rsid w:val="0057695D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A118B"/>
    <w:rsid w:val="005A20BA"/>
    <w:rsid w:val="005A41CE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D127F"/>
    <w:rsid w:val="005D5539"/>
    <w:rsid w:val="005D7A44"/>
    <w:rsid w:val="005E51DF"/>
    <w:rsid w:val="005F2971"/>
    <w:rsid w:val="005F3C86"/>
    <w:rsid w:val="005F4600"/>
    <w:rsid w:val="005F4785"/>
    <w:rsid w:val="0060033A"/>
    <w:rsid w:val="00603A55"/>
    <w:rsid w:val="0060578F"/>
    <w:rsid w:val="00610442"/>
    <w:rsid w:val="00614FBC"/>
    <w:rsid w:val="00615606"/>
    <w:rsid w:val="0061685F"/>
    <w:rsid w:val="00616AE1"/>
    <w:rsid w:val="00623FF3"/>
    <w:rsid w:val="006264C6"/>
    <w:rsid w:val="00627267"/>
    <w:rsid w:val="00630021"/>
    <w:rsid w:val="00630559"/>
    <w:rsid w:val="00631465"/>
    <w:rsid w:val="00632870"/>
    <w:rsid w:val="00633337"/>
    <w:rsid w:val="00636C04"/>
    <w:rsid w:val="00637737"/>
    <w:rsid w:val="0064425D"/>
    <w:rsid w:val="00647CFB"/>
    <w:rsid w:val="006501FE"/>
    <w:rsid w:val="0065197E"/>
    <w:rsid w:val="0065249F"/>
    <w:rsid w:val="00653B30"/>
    <w:rsid w:val="006603F2"/>
    <w:rsid w:val="00670558"/>
    <w:rsid w:val="006709A0"/>
    <w:rsid w:val="006747DE"/>
    <w:rsid w:val="00675BE6"/>
    <w:rsid w:val="00681C70"/>
    <w:rsid w:val="00690A3A"/>
    <w:rsid w:val="00691290"/>
    <w:rsid w:val="006915D5"/>
    <w:rsid w:val="0069282D"/>
    <w:rsid w:val="006A0E33"/>
    <w:rsid w:val="006A1ED6"/>
    <w:rsid w:val="006A29C4"/>
    <w:rsid w:val="006A446F"/>
    <w:rsid w:val="006A4530"/>
    <w:rsid w:val="006A4685"/>
    <w:rsid w:val="006B1F6F"/>
    <w:rsid w:val="006B36CB"/>
    <w:rsid w:val="006B3B69"/>
    <w:rsid w:val="006B4CD0"/>
    <w:rsid w:val="006B60C1"/>
    <w:rsid w:val="006C26FD"/>
    <w:rsid w:val="006D1016"/>
    <w:rsid w:val="006E315B"/>
    <w:rsid w:val="006E34C0"/>
    <w:rsid w:val="006E3AEB"/>
    <w:rsid w:val="006E654B"/>
    <w:rsid w:val="006E79B9"/>
    <w:rsid w:val="006F042E"/>
    <w:rsid w:val="006F1089"/>
    <w:rsid w:val="006F348C"/>
    <w:rsid w:val="006F48B0"/>
    <w:rsid w:val="006F57F7"/>
    <w:rsid w:val="006F6514"/>
    <w:rsid w:val="007019DB"/>
    <w:rsid w:val="00702713"/>
    <w:rsid w:val="007031B0"/>
    <w:rsid w:val="0070401C"/>
    <w:rsid w:val="00713B7D"/>
    <w:rsid w:val="00720E53"/>
    <w:rsid w:val="0072103C"/>
    <w:rsid w:val="007259A2"/>
    <w:rsid w:val="00725CF0"/>
    <w:rsid w:val="0072778C"/>
    <w:rsid w:val="007333BF"/>
    <w:rsid w:val="00734BEE"/>
    <w:rsid w:val="00741A26"/>
    <w:rsid w:val="00742510"/>
    <w:rsid w:val="00743FEA"/>
    <w:rsid w:val="007471D4"/>
    <w:rsid w:val="00750D9E"/>
    <w:rsid w:val="00752B05"/>
    <w:rsid w:val="00752DFD"/>
    <w:rsid w:val="00762349"/>
    <w:rsid w:val="007634C8"/>
    <w:rsid w:val="00767BC3"/>
    <w:rsid w:val="00767BD5"/>
    <w:rsid w:val="00776C2E"/>
    <w:rsid w:val="00780C62"/>
    <w:rsid w:val="0078440F"/>
    <w:rsid w:val="00786673"/>
    <w:rsid w:val="00792CAA"/>
    <w:rsid w:val="00794422"/>
    <w:rsid w:val="007A46AD"/>
    <w:rsid w:val="007A5A40"/>
    <w:rsid w:val="007A5F1D"/>
    <w:rsid w:val="007B493B"/>
    <w:rsid w:val="007C00FC"/>
    <w:rsid w:val="007C0781"/>
    <w:rsid w:val="007C2395"/>
    <w:rsid w:val="007C2AEF"/>
    <w:rsid w:val="007C2CA7"/>
    <w:rsid w:val="007C79CD"/>
    <w:rsid w:val="007D0B84"/>
    <w:rsid w:val="007D18D8"/>
    <w:rsid w:val="007D2915"/>
    <w:rsid w:val="007D4C1D"/>
    <w:rsid w:val="007D5FAE"/>
    <w:rsid w:val="007E36A2"/>
    <w:rsid w:val="007E402A"/>
    <w:rsid w:val="007E44EA"/>
    <w:rsid w:val="007E5C0A"/>
    <w:rsid w:val="007E5ECB"/>
    <w:rsid w:val="007E67DB"/>
    <w:rsid w:val="007F28A0"/>
    <w:rsid w:val="007F2D42"/>
    <w:rsid w:val="007F3391"/>
    <w:rsid w:val="007F6F37"/>
    <w:rsid w:val="007F6FB1"/>
    <w:rsid w:val="00800A8B"/>
    <w:rsid w:val="008016FF"/>
    <w:rsid w:val="00804C12"/>
    <w:rsid w:val="008054D5"/>
    <w:rsid w:val="00807179"/>
    <w:rsid w:val="00810142"/>
    <w:rsid w:val="00813C09"/>
    <w:rsid w:val="008145B2"/>
    <w:rsid w:val="00816872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538BC"/>
    <w:rsid w:val="00856042"/>
    <w:rsid w:val="00860393"/>
    <w:rsid w:val="00861427"/>
    <w:rsid w:val="00861A1A"/>
    <w:rsid w:val="0086498B"/>
    <w:rsid w:val="0087159B"/>
    <w:rsid w:val="00871B44"/>
    <w:rsid w:val="00874309"/>
    <w:rsid w:val="00882E31"/>
    <w:rsid w:val="008914D1"/>
    <w:rsid w:val="00894AAD"/>
    <w:rsid w:val="00896FA6"/>
    <w:rsid w:val="008A0CB6"/>
    <w:rsid w:val="008A0D79"/>
    <w:rsid w:val="008A509F"/>
    <w:rsid w:val="008A51C1"/>
    <w:rsid w:val="008A5DA7"/>
    <w:rsid w:val="008B4AD8"/>
    <w:rsid w:val="008B5561"/>
    <w:rsid w:val="008B5C10"/>
    <w:rsid w:val="008B6060"/>
    <w:rsid w:val="008B609B"/>
    <w:rsid w:val="008C0AFD"/>
    <w:rsid w:val="008C111F"/>
    <w:rsid w:val="008C2BD9"/>
    <w:rsid w:val="008C3809"/>
    <w:rsid w:val="008C506D"/>
    <w:rsid w:val="008C5912"/>
    <w:rsid w:val="008C59F4"/>
    <w:rsid w:val="008C5E01"/>
    <w:rsid w:val="008D2461"/>
    <w:rsid w:val="008D473B"/>
    <w:rsid w:val="008E17A3"/>
    <w:rsid w:val="008E3BE4"/>
    <w:rsid w:val="008E3ED5"/>
    <w:rsid w:val="008E5801"/>
    <w:rsid w:val="008E71C5"/>
    <w:rsid w:val="008F119B"/>
    <w:rsid w:val="008F1D24"/>
    <w:rsid w:val="008F2D4D"/>
    <w:rsid w:val="008F680F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C7A"/>
    <w:rsid w:val="00921184"/>
    <w:rsid w:val="00922C5D"/>
    <w:rsid w:val="009240F2"/>
    <w:rsid w:val="00924C78"/>
    <w:rsid w:val="00926E29"/>
    <w:rsid w:val="009341FC"/>
    <w:rsid w:val="00934925"/>
    <w:rsid w:val="009361CE"/>
    <w:rsid w:val="009378D7"/>
    <w:rsid w:val="00943299"/>
    <w:rsid w:val="00943F31"/>
    <w:rsid w:val="00945287"/>
    <w:rsid w:val="00945EA0"/>
    <w:rsid w:val="0094675C"/>
    <w:rsid w:val="00947E5C"/>
    <w:rsid w:val="009544D0"/>
    <w:rsid w:val="00960856"/>
    <w:rsid w:val="00967789"/>
    <w:rsid w:val="0097041F"/>
    <w:rsid w:val="00970C3E"/>
    <w:rsid w:val="0097256A"/>
    <w:rsid w:val="0097445F"/>
    <w:rsid w:val="00976BFD"/>
    <w:rsid w:val="00977AFA"/>
    <w:rsid w:val="00984A5A"/>
    <w:rsid w:val="00995C5F"/>
    <w:rsid w:val="009A083E"/>
    <w:rsid w:val="009A6FED"/>
    <w:rsid w:val="009B08B4"/>
    <w:rsid w:val="009B2BD3"/>
    <w:rsid w:val="009B3E39"/>
    <w:rsid w:val="009B3F2C"/>
    <w:rsid w:val="009B5C29"/>
    <w:rsid w:val="009B667E"/>
    <w:rsid w:val="009B7B20"/>
    <w:rsid w:val="009C3622"/>
    <w:rsid w:val="009C3A30"/>
    <w:rsid w:val="009C4940"/>
    <w:rsid w:val="009C7028"/>
    <w:rsid w:val="009D1EC6"/>
    <w:rsid w:val="009D4922"/>
    <w:rsid w:val="009D78A2"/>
    <w:rsid w:val="009E3B0D"/>
    <w:rsid w:val="009E5C89"/>
    <w:rsid w:val="009E614B"/>
    <w:rsid w:val="009E6FCF"/>
    <w:rsid w:val="00A01725"/>
    <w:rsid w:val="00A05355"/>
    <w:rsid w:val="00A06257"/>
    <w:rsid w:val="00A06428"/>
    <w:rsid w:val="00A07D68"/>
    <w:rsid w:val="00A10B31"/>
    <w:rsid w:val="00A126DE"/>
    <w:rsid w:val="00A14F41"/>
    <w:rsid w:val="00A1528D"/>
    <w:rsid w:val="00A15375"/>
    <w:rsid w:val="00A1767A"/>
    <w:rsid w:val="00A21734"/>
    <w:rsid w:val="00A22B7A"/>
    <w:rsid w:val="00A273E2"/>
    <w:rsid w:val="00A27936"/>
    <w:rsid w:val="00A27ABD"/>
    <w:rsid w:val="00A31E49"/>
    <w:rsid w:val="00A3316F"/>
    <w:rsid w:val="00A34410"/>
    <w:rsid w:val="00A35069"/>
    <w:rsid w:val="00A3733F"/>
    <w:rsid w:val="00A4038F"/>
    <w:rsid w:val="00A4108B"/>
    <w:rsid w:val="00A41158"/>
    <w:rsid w:val="00A42E8D"/>
    <w:rsid w:val="00A46C97"/>
    <w:rsid w:val="00A47B28"/>
    <w:rsid w:val="00A506D1"/>
    <w:rsid w:val="00A513E1"/>
    <w:rsid w:val="00A5238A"/>
    <w:rsid w:val="00A52F6C"/>
    <w:rsid w:val="00A605B3"/>
    <w:rsid w:val="00A63B30"/>
    <w:rsid w:val="00A64F14"/>
    <w:rsid w:val="00A6538E"/>
    <w:rsid w:val="00A6734C"/>
    <w:rsid w:val="00A67ADF"/>
    <w:rsid w:val="00A70968"/>
    <w:rsid w:val="00A75658"/>
    <w:rsid w:val="00A765EC"/>
    <w:rsid w:val="00A77449"/>
    <w:rsid w:val="00A778C0"/>
    <w:rsid w:val="00A81927"/>
    <w:rsid w:val="00A82E5B"/>
    <w:rsid w:val="00A8332A"/>
    <w:rsid w:val="00A850FA"/>
    <w:rsid w:val="00A9065F"/>
    <w:rsid w:val="00A91EDD"/>
    <w:rsid w:val="00A94DFD"/>
    <w:rsid w:val="00A97138"/>
    <w:rsid w:val="00AA1AF1"/>
    <w:rsid w:val="00AA5505"/>
    <w:rsid w:val="00AB03D0"/>
    <w:rsid w:val="00AB0473"/>
    <w:rsid w:val="00AB2598"/>
    <w:rsid w:val="00AB5D1A"/>
    <w:rsid w:val="00AC0FBB"/>
    <w:rsid w:val="00AC3E07"/>
    <w:rsid w:val="00AC63A1"/>
    <w:rsid w:val="00AC6AA4"/>
    <w:rsid w:val="00AC7D18"/>
    <w:rsid w:val="00AD3B9E"/>
    <w:rsid w:val="00AD599E"/>
    <w:rsid w:val="00AD682B"/>
    <w:rsid w:val="00AE066B"/>
    <w:rsid w:val="00AE0E31"/>
    <w:rsid w:val="00AE4DDE"/>
    <w:rsid w:val="00AE572F"/>
    <w:rsid w:val="00AF13E4"/>
    <w:rsid w:val="00AF242A"/>
    <w:rsid w:val="00AF323F"/>
    <w:rsid w:val="00AF4EE4"/>
    <w:rsid w:val="00AF5962"/>
    <w:rsid w:val="00AF7008"/>
    <w:rsid w:val="00B0374C"/>
    <w:rsid w:val="00B060B3"/>
    <w:rsid w:val="00B11816"/>
    <w:rsid w:val="00B1287A"/>
    <w:rsid w:val="00B137E2"/>
    <w:rsid w:val="00B16969"/>
    <w:rsid w:val="00B16E1F"/>
    <w:rsid w:val="00B173DD"/>
    <w:rsid w:val="00B17960"/>
    <w:rsid w:val="00B224C7"/>
    <w:rsid w:val="00B300E7"/>
    <w:rsid w:val="00B3259B"/>
    <w:rsid w:val="00B343D0"/>
    <w:rsid w:val="00B375AC"/>
    <w:rsid w:val="00B43EE0"/>
    <w:rsid w:val="00B4563A"/>
    <w:rsid w:val="00B45ABC"/>
    <w:rsid w:val="00B46A46"/>
    <w:rsid w:val="00B46D5D"/>
    <w:rsid w:val="00B51F76"/>
    <w:rsid w:val="00B52671"/>
    <w:rsid w:val="00B53187"/>
    <w:rsid w:val="00B534ED"/>
    <w:rsid w:val="00B5607C"/>
    <w:rsid w:val="00B57285"/>
    <w:rsid w:val="00B607DD"/>
    <w:rsid w:val="00B60BAC"/>
    <w:rsid w:val="00B6166D"/>
    <w:rsid w:val="00B61858"/>
    <w:rsid w:val="00B63A52"/>
    <w:rsid w:val="00B71AC5"/>
    <w:rsid w:val="00B71B97"/>
    <w:rsid w:val="00B722FF"/>
    <w:rsid w:val="00B80D1C"/>
    <w:rsid w:val="00B84CB5"/>
    <w:rsid w:val="00B8622B"/>
    <w:rsid w:val="00B87BF8"/>
    <w:rsid w:val="00B9013F"/>
    <w:rsid w:val="00B92F0F"/>
    <w:rsid w:val="00B95687"/>
    <w:rsid w:val="00BA51CC"/>
    <w:rsid w:val="00BA6668"/>
    <w:rsid w:val="00BA67B8"/>
    <w:rsid w:val="00BB3055"/>
    <w:rsid w:val="00BB321E"/>
    <w:rsid w:val="00BC0FC2"/>
    <w:rsid w:val="00BC293B"/>
    <w:rsid w:val="00BC3C35"/>
    <w:rsid w:val="00BC6220"/>
    <w:rsid w:val="00BC7BE9"/>
    <w:rsid w:val="00BD0580"/>
    <w:rsid w:val="00BD5410"/>
    <w:rsid w:val="00BE22F2"/>
    <w:rsid w:val="00BE2B42"/>
    <w:rsid w:val="00BE3538"/>
    <w:rsid w:val="00BE5C68"/>
    <w:rsid w:val="00BE7AEA"/>
    <w:rsid w:val="00BF03A8"/>
    <w:rsid w:val="00BF181A"/>
    <w:rsid w:val="00BF3CF1"/>
    <w:rsid w:val="00BF4457"/>
    <w:rsid w:val="00BF5B63"/>
    <w:rsid w:val="00BF6651"/>
    <w:rsid w:val="00C0037F"/>
    <w:rsid w:val="00C00DEB"/>
    <w:rsid w:val="00C0258C"/>
    <w:rsid w:val="00C0469D"/>
    <w:rsid w:val="00C046B0"/>
    <w:rsid w:val="00C0482D"/>
    <w:rsid w:val="00C06833"/>
    <w:rsid w:val="00C0774C"/>
    <w:rsid w:val="00C07F4F"/>
    <w:rsid w:val="00C10534"/>
    <w:rsid w:val="00C11B9A"/>
    <w:rsid w:val="00C1233E"/>
    <w:rsid w:val="00C1384F"/>
    <w:rsid w:val="00C1412A"/>
    <w:rsid w:val="00C1583D"/>
    <w:rsid w:val="00C168A3"/>
    <w:rsid w:val="00C17FBF"/>
    <w:rsid w:val="00C21E6D"/>
    <w:rsid w:val="00C272F6"/>
    <w:rsid w:val="00C30D74"/>
    <w:rsid w:val="00C33F3D"/>
    <w:rsid w:val="00C34700"/>
    <w:rsid w:val="00C35DD8"/>
    <w:rsid w:val="00C40678"/>
    <w:rsid w:val="00C42725"/>
    <w:rsid w:val="00C44347"/>
    <w:rsid w:val="00C46E91"/>
    <w:rsid w:val="00C4793A"/>
    <w:rsid w:val="00C50D12"/>
    <w:rsid w:val="00C519B2"/>
    <w:rsid w:val="00C51C33"/>
    <w:rsid w:val="00C55475"/>
    <w:rsid w:val="00C61425"/>
    <w:rsid w:val="00C626B3"/>
    <w:rsid w:val="00C639C2"/>
    <w:rsid w:val="00C645DF"/>
    <w:rsid w:val="00C66B91"/>
    <w:rsid w:val="00C67D65"/>
    <w:rsid w:val="00C7373E"/>
    <w:rsid w:val="00C73CC0"/>
    <w:rsid w:val="00C75ACD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C71C8"/>
    <w:rsid w:val="00CC7CA0"/>
    <w:rsid w:val="00CD2CCF"/>
    <w:rsid w:val="00CE059D"/>
    <w:rsid w:val="00CE149D"/>
    <w:rsid w:val="00CE1573"/>
    <w:rsid w:val="00CE328C"/>
    <w:rsid w:val="00CE3528"/>
    <w:rsid w:val="00CE3607"/>
    <w:rsid w:val="00CE7B34"/>
    <w:rsid w:val="00CF0DF5"/>
    <w:rsid w:val="00CF2A49"/>
    <w:rsid w:val="00CF6576"/>
    <w:rsid w:val="00D02F8B"/>
    <w:rsid w:val="00D055E7"/>
    <w:rsid w:val="00D06A80"/>
    <w:rsid w:val="00D106AF"/>
    <w:rsid w:val="00D13683"/>
    <w:rsid w:val="00D17D70"/>
    <w:rsid w:val="00D2296B"/>
    <w:rsid w:val="00D22AC0"/>
    <w:rsid w:val="00D23803"/>
    <w:rsid w:val="00D251CC"/>
    <w:rsid w:val="00D2731B"/>
    <w:rsid w:val="00D27C54"/>
    <w:rsid w:val="00D327D6"/>
    <w:rsid w:val="00D33941"/>
    <w:rsid w:val="00D3617F"/>
    <w:rsid w:val="00D37B52"/>
    <w:rsid w:val="00D450DE"/>
    <w:rsid w:val="00D4511E"/>
    <w:rsid w:val="00D46649"/>
    <w:rsid w:val="00D47742"/>
    <w:rsid w:val="00D47E39"/>
    <w:rsid w:val="00D50998"/>
    <w:rsid w:val="00D57BAC"/>
    <w:rsid w:val="00D61941"/>
    <w:rsid w:val="00D655DC"/>
    <w:rsid w:val="00D70D5F"/>
    <w:rsid w:val="00D70D8F"/>
    <w:rsid w:val="00D73345"/>
    <w:rsid w:val="00D80134"/>
    <w:rsid w:val="00D813FA"/>
    <w:rsid w:val="00D825C9"/>
    <w:rsid w:val="00D85786"/>
    <w:rsid w:val="00D9093D"/>
    <w:rsid w:val="00D9318A"/>
    <w:rsid w:val="00DA3DC3"/>
    <w:rsid w:val="00DA659B"/>
    <w:rsid w:val="00DA7FC6"/>
    <w:rsid w:val="00DB1ECF"/>
    <w:rsid w:val="00DB37B2"/>
    <w:rsid w:val="00DB4D6C"/>
    <w:rsid w:val="00DB62BE"/>
    <w:rsid w:val="00DB6971"/>
    <w:rsid w:val="00DC0647"/>
    <w:rsid w:val="00DC09B2"/>
    <w:rsid w:val="00DC2162"/>
    <w:rsid w:val="00DC2F58"/>
    <w:rsid w:val="00DC3F70"/>
    <w:rsid w:val="00DD164E"/>
    <w:rsid w:val="00DE1041"/>
    <w:rsid w:val="00DE498D"/>
    <w:rsid w:val="00DE52D1"/>
    <w:rsid w:val="00DE718D"/>
    <w:rsid w:val="00DE7EED"/>
    <w:rsid w:val="00DF0688"/>
    <w:rsid w:val="00DF078B"/>
    <w:rsid w:val="00DF5354"/>
    <w:rsid w:val="00DF5AC4"/>
    <w:rsid w:val="00E02742"/>
    <w:rsid w:val="00E042D2"/>
    <w:rsid w:val="00E1366A"/>
    <w:rsid w:val="00E1448D"/>
    <w:rsid w:val="00E14A24"/>
    <w:rsid w:val="00E15081"/>
    <w:rsid w:val="00E16D51"/>
    <w:rsid w:val="00E20255"/>
    <w:rsid w:val="00E20D0A"/>
    <w:rsid w:val="00E22E00"/>
    <w:rsid w:val="00E23585"/>
    <w:rsid w:val="00E23EDD"/>
    <w:rsid w:val="00E256AB"/>
    <w:rsid w:val="00E25DF1"/>
    <w:rsid w:val="00E3179A"/>
    <w:rsid w:val="00E42818"/>
    <w:rsid w:val="00E42E22"/>
    <w:rsid w:val="00E47C6A"/>
    <w:rsid w:val="00E512E1"/>
    <w:rsid w:val="00E5178A"/>
    <w:rsid w:val="00E52A7C"/>
    <w:rsid w:val="00E56FD1"/>
    <w:rsid w:val="00E61B11"/>
    <w:rsid w:val="00E63FE1"/>
    <w:rsid w:val="00E670D7"/>
    <w:rsid w:val="00E72A3A"/>
    <w:rsid w:val="00E72C6F"/>
    <w:rsid w:val="00E763F6"/>
    <w:rsid w:val="00E82F68"/>
    <w:rsid w:val="00E843EE"/>
    <w:rsid w:val="00E84546"/>
    <w:rsid w:val="00E90254"/>
    <w:rsid w:val="00E91E7F"/>
    <w:rsid w:val="00E93A7D"/>
    <w:rsid w:val="00E94495"/>
    <w:rsid w:val="00E95541"/>
    <w:rsid w:val="00E9748B"/>
    <w:rsid w:val="00EA053A"/>
    <w:rsid w:val="00EA2556"/>
    <w:rsid w:val="00EA302F"/>
    <w:rsid w:val="00EA3298"/>
    <w:rsid w:val="00EA3E0F"/>
    <w:rsid w:val="00EA5F77"/>
    <w:rsid w:val="00EA6A08"/>
    <w:rsid w:val="00EA7D38"/>
    <w:rsid w:val="00EB06F6"/>
    <w:rsid w:val="00EB3BD8"/>
    <w:rsid w:val="00EB5081"/>
    <w:rsid w:val="00EB51C6"/>
    <w:rsid w:val="00EB5CF1"/>
    <w:rsid w:val="00EB7662"/>
    <w:rsid w:val="00EC05A8"/>
    <w:rsid w:val="00EC2C00"/>
    <w:rsid w:val="00EC43DC"/>
    <w:rsid w:val="00ED254B"/>
    <w:rsid w:val="00ED44D3"/>
    <w:rsid w:val="00ED4A77"/>
    <w:rsid w:val="00ED661F"/>
    <w:rsid w:val="00ED6C6C"/>
    <w:rsid w:val="00ED7FF0"/>
    <w:rsid w:val="00EE22E2"/>
    <w:rsid w:val="00EF592C"/>
    <w:rsid w:val="00F00EE0"/>
    <w:rsid w:val="00F0106E"/>
    <w:rsid w:val="00F036BC"/>
    <w:rsid w:val="00F12B12"/>
    <w:rsid w:val="00F17931"/>
    <w:rsid w:val="00F20A6A"/>
    <w:rsid w:val="00F26172"/>
    <w:rsid w:val="00F30569"/>
    <w:rsid w:val="00F35E15"/>
    <w:rsid w:val="00F374FA"/>
    <w:rsid w:val="00F377CA"/>
    <w:rsid w:val="00F378DB"/>
    <w:rsid w:val="00F476A4"/>
    <w:rsid w:val="00F5235B"/>
    <w:rsid w:val="00F52859"/>
    <w:rsid w:val="00F52B2F"/>
    <w:rsid w:val="00F53E74"/>
    <w:rsid w:val="00F608BE"/>
    <w:rsid w:val="00F63A26"/>
    <w:rsid w:val="00F64703"/>
    <w:rsid w:val="00F64F29"/>
    <w:rsid w:val="00F67CC2"/>
    <w:rsid w:val="00F70AEA"/>
    <w:rsid w:val="00F73562"/>
    <w:rsid w:val="00F754AF"/>
    <w:rsid w:val="00F802DB"/>
    <w:rsid w:val="00F83CF0"/>
    <w:rsid w:val="00F87500"/>
    <w:rsid w:val="00F87A31"/>
    <w:rsid w:val="00F96458"/>
    <w:rsid w:val="00FA028B"/>
    <w:rsid w:val="00FA0937"/>
    <w:rsid w:val="00FA2BCA"/>
    <w:rsid w:val="00FA3D45"/>
    <w:rsid w:val="00FA53EF"/>
    <w:rsid w:val="00FA5D29"/>
    <w:rsid w:val="00FA6C75"/>
    <w:rsid w:val="00FA73D0"/>
    <w:rsid w:val="00FA7C5F"/>
    <w:rsid w:val="00FB27B8"/>
    <w:rsid w:val="00FB33EB"/>
    <w:rsid w:val="00FB3CEB"/>
    <w:rsid w:val="00FC4A26"/>
    <w:rsid w:val="00FC7724"/>
    <w:rsid w:val="00FD055C"/>
    <w:rsid w:val="00FD0F68"/>
    <w:rsid w:val="00FD1A90"/>
    <w:rsid w:val="00FD4334"/>
    <w:rsid w:val="00FD456C"/>
    <w:rsid w:val="00FD6F7C"/>
    <w:rsid w:val="00FE2E42"/>
    <w:rsid w:val="00FE3272"/>
    <w:rsid w:val="00FE39A5"/>
    <w:rsid w:val="00FE547A"/>
    <w:rsid w:val="00FF0FF6"/>
    <w:rsid w:val="00FF25E8"/>
    <w:rsid w:val="00FF777C"/>
    <w:rsid w:val="01231704"/>
    <w:rsid w:val="01C10A26"/>
    <w:rsid w:val="01FD4C43"/>
    <w:rsid w:val="02CC52D0"/>
    <w:rsid w:val="02F46712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E98E66"/>
    <w:rsid w:val="0BF58675"/>
    <w:rsid w:val="0C39B00E"/>
    <w:rsid w:val="0CE6E7D6"/>
    <w:rsid w:val="0CEC4C29"/>
    <w:rsid w:val="0D144703"/>
    <w:rsid w:val="0E0D1515"/>
    <w:rsid w:val="0E4A62BE"/>
    <w:rsid w:val="0E4C09E8"/>
    <w:rsid w:val="0E609A90"/>
    <w:rsid w:val="0E6F5EAD"/>
    <w:rsid w:val="0EE43CCC"/>
    <w:rsid w:val="0F1D97B8"/>
    <w:rsid w:val="0F47E78E"/>
    <w:rsid w:val="0F7176E5"/>
    <w:rsid w:val="0F811D0F"/>
    <w:rsid w:val="10ED1D94"/>
    <w:rsid w:val="117C0139"/>
    <w:rsid w:val="120A28C2"/>
    <w:rsid w:val="128DFCAA"/>
    <w:rsid w:val="133758B4"/>
    <w:rsid w:val="134E7257"/>
    <w:rsid w:val="1422B4E5"/>
    <w:rsid w:val="143AC40E"/>
    <w:rsid w:val="1460DFC9"/>
    <w:rsid w:val="149DEFB3"/>
    <w:rsid w:val="14BA6E3E"/>
    <w:rsid w:val="158B4F86"/>
    <w:rsid w:val="15BE8DA5"/>
    <w:rsid w:val="1602B8E3"/>
    <w:rsid w:val="162F5C56"/>
    <w:rsid w:val="18453130"/>
    <w:rsid w:val="18C462D5"/>
    <w:rsid w:val="19642670"/>
    <w:rsid w:val="196A4071"/>
    <w:rsid w:val="1A2B8397"/>
    <w:rsid w:val="1A419335"/>
    <w:rsid w:val="1BD463D6"/>
    <w:rsid w:val="1C211EA3"/>
    <w:rsid w:val="1C6CA1D9"/>
    <w:rsid w:val="1DBEBEC7"/>
    <w:rsid w:val="1E3D3162"/>
    <w:rsid w:val="1E735881"/>
    <w:rsid w:val="1F2BED96"/>
    <w:rsid w:val="20104609"/>
    <w:rsid w:val="206AFC1D"/>
    <w:rsid w:val="20A8C0F0"/>
    <w:rsid w:val="214774F3"/>
    <w:rsid w:val="22840EA0"/>
    <w:rsid w:val="22B65F9D"/>
    <w:rsid w:val="2445D39A"/>
    <w:rsid w:val="24C8A582"/>
    <w:rsid w:val="25E47DEC"/>
    <w:rsid w:val="264AE813"/>
    <w:rsid w:val="267A9CFE"/>
    <w:rsid w:val="26BB1B6A"/>
    <w:rsid w:val="282DFDAC"/>
    <w:rsid w:val="283CE919"/>
    <w:rsid w:val="2932B582"/>
    <w:rsid w:val="29D1B1A3"/>
    <w:rsid w:val="2AD5B9A2"/>
    <w:rsid w:val="2B0B0425"/>
    <w:rsid w:val="2B62CCDE"/>
    <w:rsid w:val="2BDDEA57"/>
    <w:rsid w:val="2C212AA2"/>
    <w:rsid w:val="2C8BF530"/>
    <w:rsid w:val="2CB362C7"/>
    <w:rsid w:val="2E68B955"/>
    <w:rsid w:val="2E838067"/>
    <w:rsid w:val="2EC062D8"/>
    <w:rsid w:val="2F01DE0F"/>
    <w:rsid w:val="2F2C4DF6"/>
    <w:rsid w:val="2F55B85C"/>
    <w:rsid w:val="2F608768"/>
    <w:rsid w:val="2F9CD6AD"/>
    <w:rsid w:val="2FAC16E8"/>
    <w:rsid w:val="2FFF016D"/>
    <w:rsid w:val="30417E81"/>
    <w:rsid w:val="305B3231"/>
    <w:rsid w:val="3061F028"/>
    <w:rsid w:val="30F0B490"/>
    <w:rsid w:val="315E55A8"/>
    <w:rsid w:val="3231B730"/>
    <w:rsid w:val="3257BF22"/>
    <w:rsid w:val="327CB361"/>
    <w:rsid w:val="33C85315"/>
    <w:rsid w:val="340FD139"/>
    <w:rsid w:val="34434CB5"/>
    <w:rsid w:val="34930B1F"/>
    <w:rsid w:val="3630BB4C"/>
    <w:rsid w:val="36512575"/>
    <w:rsid w:val="3677833B"/>
    <w:rsid w:val="36F17645"/>
    <w:rsid w:val="377FE0E0"/>
    <w:rsid w:val="37DE231E"/>
    <w:rsid w:val="37F8BE09"/>
    <w:rsid w:val="38AC0F47"/>
    <w:rsid w:val="3A5791BA"/>
    <w:rsid w:val="3A64DD46"/>
    <w:rsid w:val="3AE93AFF"/>
    <w:rsid w:val="3B443A84"/>
    <w:rsid w:val="3BDE38EC"/>
    <w:rsid w:val="3C267610"/>
    <w:rsid w:val="3C6FE0F9"/>
    <w:rsid w:val="3CD04402"/>
    <w:rsid w:val="3D4AE469"/>
    <w:rsid w:val="3E9E41E3"/>
    <w:rsid w:val="3EDBE982"/>
    <w:rsid w:val="3EE19E7D"/>
    <w:rsid w:val="40DB33A6"/>
    <w:rsid w:val="42392E1D"/>
    <w:rsid w:val="4286D577"/>
    <w:rsid w:val="43180439"/>
    <w:rsid w:val="44C3D125"/>
    <w:rsid w:val="456BB716"/>
    <w:rsid w:val="462B2703"/>
    <w:rsid w:val="46A50292"/>
    <w:rsid w:val="47C2902B"/>
    <w:rsid w:val="48159C8A"/>
    <w:rsid w:val="481FFDE9"/>
    <w:rsid w:val="48A0812A"/>
    <w:rsid w:val="49220A4E"/>
    <w:rsid w:val="4949F39B"/>
    <w:rsid w:val="4A7D2D74"/>
    <w:rsid w:val="4A9A101C"/>
    <w:rsid w:val="4B058C6A"/>
    <w:rsid w:val="4B5B2B11"/>
    <w:rsid w:val="4BC236EF"/>
    <w:rsid w:val="4C023443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1CA3932"/>
    <w:rsid w:val="52A03E59"/>
    <w:rsid w:val="52A8F327"/>
    <w:rsid w:val="53387555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933AAE0"/>
    <w:rsid w:val="5994E92F"/>
    <w:rsid w:val="5AE45515"/>
    <w:rsid w:val="5B4CB704"/>
    <w:rsid w:val="5B616B60"/>
    <w:rsid w:val="5D11A658"/>
    <w:rsid w:val="5DDDF942"/>
    <w:rsid w:val="5F0C8D29"/>
    <w:rsid w:val="5FADF06D"/>
    <w:rsid w:val="5FE54CAD"/>
    <w:rsid w:val="606B2278"/>
    <w:rsid w:val="617FFB70"/>
    <w:rsid w:val="61834956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A1B4CD"/>
    <w:rsid w:val="660D96AB"/>
    <w:rsid w:val="6690BFC1"/>
    <w:rsid w:val="66A60B33"/>
    <w:rsid w:val="66A7F2F7"/>
    <w:rsid w:val="66EB5471"/>
    <w:rsid w:val="68D59568"/>
    <w:rsid w:val="6A4B263E"/>
    <w:rsid w:val="6A813A98"/>
    <w:rsid w:val="6A900C93"/>
    <w:rsid w:val="6CD0B92A"/>
    <w:rsid w:val="6CD3FA1A"/>
    <w:rsid w:val="6D7E9CA1"/>
    <w:rsid w:val="7027CED3"/>
    <w:rsid w:val="70533838"/>
    <w:rsid w:val="712A57DE"/>
    <w:rsid w:val="713C1EF4"/>
    <w:rsid w:val="717F729F"/>
    <w:rsid w:val="72F21064"/>
    <w:rsid w:val="73359B16"/>
    <w:rsid w:val="74BE631B"/>
    <w:rsid w:val="756D892E"/>
    <w:rsid w:val="7588D53D"/>
    <w:rsid w:val="758FE97D"/>
    <w:rsid w:val="759B1E5D"/>
    <w:rsid w:val="760BB3AB"/>
    <w:rsid w:val="76404740"/>
    <w:rsid w:val="76A124FE"/>
    <w:rsid w:val="76D6253C"/>
    <w:rsid w:val="76E35945"/>
    <w:rsid w:val="79084BCD"/>
    <w:rsid w:val="799DC5E3"/>
    <w:rsid w:val="7B3E28D0"/>
    <w:rsid w:val="7B6F7AFB"/>
    <w:rsid w:val="7BA22C07"/>
    <w:rsid w:val="7BBB5540"/>
    <w:rsid w:val="7BEA836A"/>
    <w:rsid w:val="7C59371D"/>
    <w:rsid w:val="7D105ACE"/>
    <w:rsid w:val="7DED137D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BF251"/>
  <w15:docId w15:val="{90E829DF-7E69-40AB-9C60-2662F92C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78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78A2"/>
    <w:rPr>
      <w:rFonts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9D78A2"/>
    <w:rPr>
      <w:vertAlign w:val="superscript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EA255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4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bidli.cz" TargetMode="External"/><Relationship Id="rId17" Type="http://schemas.openxmlformats.org/officeDocument/2006/relationships/hyperlink" Target="mailto:michaela.mucz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hyperlink" Target="http://www.bidl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1BAE32-8E81-4A28-A271-48F6AB4B9E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1067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Míša</cp:lastModifiedBy>
  <cp:revision>4</cp:revision>
  <cp:lastPrinted>2019-11-25T13:38:00Z</cp:lastPrinted>
  <dcterms:created xsi:type="dcterms:W3CDTF">2021-02-24T15:35:00Z</dcterms:created>
  <dcterms:modified xsi:type="dcterms:W3CDTF">2021-02-25T09:51:00Z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